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91" w:rsidRDefault="00FA7497" w:rsidP="00416E04">
      <w:pPr>
        <w:autoSpaceDE w:val="0"/>
        <w:autoSpaceDN w:val="0"/>
        <w:adjustRightInd w:val="0"/>
        <w:spacing w:line="443" w:lineRule="exact"/>
        <w:ind w:right="-20"/>
        <w:jc w:val="center"/>
        <w:rPr>
          <w:rFonts w:ascii="宋体" w:cs="Microsoft JhengHei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position w:val="1"/>
          <w:szCs w:val="21"/>
        </w:rPr>
        <w:t>理论考试（开卷）参考资料</w:t>
      </w:r>
    </w:p>
    <w:p w:rsidR="00360791" w:rsidRDefault="00360791">
      <w:pPr>
        <w:autoSpaceDE w:val="0"/>
        <w:autoSpaceDN w:val="0"/>
        <w:adjustRightInd w:val="0"/>
        <w:spacing w:before="6" w:line="100" w:lineRule="exact"/>
        <w:jc w:val="left"/>
        <w:rPr>
          <w:rFonts w:ascii="宋体" w:cs="Microsoft JhengHei"/>
          <w:kern w:val="0"/>
          <w:szCs w:val="21"/>
        </w:rPr>
      </w:pPr>
    </w:p>
    <w:p w:rsidR="00360791" w:rsidRDefault="00FA7497">
      <w:pPr>
        <w:autoSpaceDE w:val="0"/>
        <w:autoSpaceDN w:val="0"/>
        <w:adjustRightInd w:val="0"/>
        <w:spacing w:line="450" w:lineRule="exact"/>
        <w:ind w:right="-20"/>
        <w:jc w:val="center"/>
        <w:rPr>
          <w:rFonts w:ascii="宋体" w:cs="Microsoft JhengHei"/>
          <w:kern w:val="0"/>
          <w:szCs w:val="21"/>
        </w:rPr>
      </w:pPr>
      <w:r>
        <w:rPr>
          <w:rFonts w:ascii="宋体" w:hAnsi="宋体" w:cs="宋体" w:hint="eastAsia"/>
          <w:kern w:val="0"/>
          <w:position w:val="-5"/>
          <w:szCs w:val="21"/>
        </w:rPr>
        <w:t>通用综合部分（承压类）</w:t>
      </w:r>
    </w:p>
    <w:p w:rsidR="00360791" w:rsidRDefault="00360791">
      <w:pPr>
        <w:autoSpaceDE w:val="0"/>
        <w:autoSpaceDN w:val="0"/>
        <w:adjustRightInd w:val="0"/>
        <w:spacing w:before="1" w:line="170" w:lineRule="exact"/>
        <w:jc w:val="left"/>
        <w:rPr>
          <w:rFonts w:ascii="宋体" w:cs="Microsoft JhengHei"/>
          <w:kern w:val="0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7775"/>
      </w:tblGrid>
      <w:tr w:rsidR="00360791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60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序号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3425" w:right="3403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参考书目</w:t>
            </w:r>
          </w:p>
        </w:tc>
      </w:tr>
      <w:tr w:rsidR="00360791" w:rsidTr="001C4872">
        <w:trPr>
          <w:trHeight w:hRule="exact" w:val="4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C4872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中华人民共和国特种设备安全法</w:t>
            </w:r>
          </w:p>
        </w:tc>
      </w:tr>
      <w:tr w:rsidR="00360791" w:rsidTr="001C4872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C4872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特种设备安全监察条例</w:t>
            </w:r>
          </w:p>
        </w:tc>
      </w:tr>
      <w:tr w:rsidR="00360791" w:rsidTr="001C4872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C4872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特种设备目录（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年版）</w:t>
            </w:r>
          </w:p>
        </w:tc>
      </w:tr>
      <w:tr w:rsidR="00360791" w:rsidTr="001C4872">
        <w:trPr>
          <w:trHeight w:hRule="exact" w:val="4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C4872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特种设备使用管理规则（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08-2017）</w:t>
            </w:r>
          </w:p>
        </w:tc>
      </w:tr>
      <w:tr w:rsidR="00360791" w:rsidTr="001C4872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C4872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特种设备检验人员考核规则（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Z8002-2022，含第1号修改单）</w:t>
            </w:r>
          </w:p>
        </w:tc>
      </w:tr>
      <w:tr w:rsidR="00360791" w:rsidTr="001C4872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1C4872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特种设备焊接操作人员考试细则（TSG Z6002-2010）</w:t>
            </w:r>
          </w:p>
        </w:tc>
      </w:tr>
      <w:tr w:rsidR="00360791" w:rsidTr="001C4872">
        <w:trPr>
          <w:trHeight w:hRule="exact" w:val="53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Pr="00BE54AD" w:rsidRDefault="00360791" w:rsidP="001C4872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 w:rsidP="001C4872">
            <w:pPr>
              <w:autoSpaceDE w:val="0"/>
              <w:autoSpaceDN w:val="0"/>
              <w:adjustRightInd w:val="0"/>
              <w:ind w:left="282" w:right="262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Pr="00BE54AD" w:rsidRDefault="00FA7497" w:rsidP="001C4872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/>
                <w:kern w:val="0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特种设备生产与充装单位许可规则（</w:t>
            </w:r>
            <w:r w:rsidR="0066180C"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07-2019，含第1、2号修改单）</w:t>
            </w:r>
          </w:p>
        </w:tc>
      </w:tr>
      <w:tr w:rsidR="00360791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82" w:right="262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/>
                <w:kern w:val="0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特种设备检验机构核准规则（</w:t>
            </w:r>
            <w:r w:rsidR="0066180C"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Z7001-2021）</w:t>
            </w:r>
          </w:p>
        </w:tc>
      </w:tr>
      <w:tr w:rsidR="00360791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82" w:right="262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/>
                <w:kern w:val="0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特种设备事故报告和调查处理规定（市场监督管理</w:t>
            </w:r>
            <w:proofErr w:type="gramStart"/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总局令第</w:t>
            </w:r>
            <w:proofErr w:type="gramEnd"/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 </w:t>
            </w:r>
            <w:r w:rsidRPr="00BE54AD">
              <w:rPr>
                <w:rFonts w:ascii="宋体" w:hAnsi="宋体" w:cs="宋体" w:hint="eastAsia"/>
                <w:w w:val="89"/>
                <w:kern w:val="0"/>
                <w:position w:val="-2"/>
                <w:szCs w:val="21"/>
              </w:rPr>
              <w:t xml:space="preserve">50 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号）</w:t>
            </w:r>
          </w:p>
        </w:tc>
      </w:tr>
      <w:tr w:rsidR="00360791" w:rsidTr="00BE54AD">
        <w:trPr>
          <w:trHeight w:hRule="exact" w:val="44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10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承压设备焊接工艺评定（NB/T 47014-2023）</w:t>
            </w:r>
          </w:p>
        </w:tc>
      </w:tr>
      <w:tr w:rsidR="00360791" w:rsidTr="00BE54AD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11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承压设备产品焊接试件的力学性能检验（NB/T 47016-2023)</w:t>
            </w:r>
          </w:p>
        </w:tc>
      </w:tr>
      <w:tr w:rsidR="00360791" w:rsidTr="00BE54AD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12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承压设备焊后热处理规程(GB/T 30583-2014)</w:t>
            </w:r>
          </w:p>
        </w:tc>
      </w:tr>
      <w:tr w:rsidR="00360791" w:rsidTr="00BE54AD">
        <w:trPr>
          <w:trHeight w:hRule="exact" w:val="46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13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承压设备损伤模式识别（</w:t>
            </w:r>
            <w:r w:rsidR="0066180C"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GB/T 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30579-2022）</w:t>
            </w:r>
          </w:p>
        </w:tc>
      </w:tr>
      <w:tr w:rsidR="00360791" w:rsidTr="00BE54AD">
        <w:trPr>
          <w:trHeight w:hRule="exact" w:val="4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14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承压设备合于使用评价（</w:t>
            </w:r>
            <w:r w:rsidR="0066180C"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GB/T 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35013-2018）</w:t>
            </w:r>
          </w:p>
        </w:tc>
      </w:tr>
      <w:tr w:rsidR="00360791" w:rsidTr="00BE54AD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15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承压设备无损检测（NB/T47013.1-47013.2、47013.4、</w:t>
            </w:r>
            <w:r w:rsidR="009C0B52"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7013.5-2015)</w:t>
            </w:r>
          </w:p>
          <w:p w:rsidR="00360791" w:rsidRPr="00BE54AD" w:rsidRDefault="00360791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</w:p>
        </w:tc>
      </w:tr>
      <w:tr w:rsidR="00360791" w:rsidTr="00BE54AD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16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承压设备无损检测（NB/T47013.3-2023)</w:t>
            </w:r>
          </w:p>
          <w:p w:rsidR="00360791" w:rsidRPr="00BE54AD" w:rsidRDefault="00360791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</w:p>
        </w:tc>
      </w:tr>
      <w:tr w:rsidR="00360791" w:rsidTr="00BE54AD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17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承压设备用钢板和钢带（GB/T713.1-713.7-2023）</w:t>
            </w:r>
          </w:p>
        </w:tc>
      </w:tr>
      <w:tr w:rsidR="00360791" w:rsidTr="00BE54AD">
        <w:trPr>
          <w:trHeight w:hRule="exact" w:val="46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18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Pr="00BE54AD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BE54AD"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承压设备用碳素钢和合金钢锻件（NB/T47008-2017）</w:t>
            </w:r>
          </w:p>
        </w:tc>
      </w:tr>
      <w:tr w:rsidR="00360791" w:rsidTr="00BE54AD">
        <w:trPr>
          <w:trHeight w:hRule="exact" w:val="4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Default="00360791">
            <w:pPr>
              <w:autoSpaceDE w:val="0"/>
              <w:autoSpaceDN w:val="0"/>
              <w:adjustRightInd w:val="0"/>
              <w:spacing w:before="5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30" w:right="209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19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91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检验师教材中承压类通用检验基础知识</w:t>
            </w:r>
          </w:p>
        </w:tc>
      </w:tr>
    </w:tbl>
    <w:p w:rsidR="00360791" w:rsidRDefault="00360791">
      <w:pPr>
        <w:autoSpaceDE w:val="0"/>
        <w:autoSpaceDN w:val="0"/>
        <w:adjustRightInd w:val="0"/>
        <w:spacing w:before="4" w:line="130" w:lineRule="exact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hAnsi="宋体" w:cs="宋体"/>
          <w:kern w:val="0"/>
          <w:szCs w:val="21"/>
        </w:rPr>
      </w:pPr>
    </w:p>
    <w:p w:rsidR="00360791" w:rsidRDefault="00360791" w:rsidP="00416E04">
      <w:pPr>
        <w:autoSpaceDE w:val="0"/>
        <w:autoSpaceDN w:val="0"/>
        <w:adjustRightInd w:val="0"/>
        <w:spacing w:line="373" w:lineRule="exact"/>
        <w:ind w:right="3748"/>
        <w:rPr>
          <w:rFonts w:ascii="宋体" w:hAnsi="宋体" w:cs="宋体"/>
          <w:kern w:val="0"/>
          <w:szCs w:val="21"/>
        </w:rPr>
      </w:pPr>
    </w:p>
    <w:p w:rsidR="00360791" w:rsidRDefault="00FA7497">
      <w:pPr>
        <w:autoSpaceDE w:val="0"/>
        <w:autoSpaceDN w:val="0"/>
        <w:adjustRightInd w:val="0"/>
        <w:spacing w:line="373" w:lineRule="exact"/>
        <w:ind w:left="3770" w:right="3748"/>
        <w:jc w:val="center"/>
        <w:rPr>
          <w:rFonts w:ascii="宋体" w:cs="Microsoft JhengHei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锅炉专业</w:t>
      </w:r>
    </w:p>
    <w:p w:rsidR="00360791" w:rsidRDefault="00360791">
      <w:pPr>
        <w:autoSpaceDE w:val="0"/>
        <w:autoSpaceDN w:val="0"/>
        <w:adjustRightInd w:val="0"/>
        <w:spacing w:before="9" w:line="130" w:lineRule="exact"/>
        <w:jc w:val="left"/>
        <w:rPr>
          <w:rFonts w:ascii="宋体" w:cs="Microsoft JhengHei"/>
          <w:kern w:val="0"/>
          <w:szCs w:val="2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746"/>
      </w:tblGrid>
      <w:tr w:rsidR="00360791">
        <w:trPr>
          <w:trHeight w:hRule="exact" w:val="36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36" w:lineRule="exact"/>
              <w:ind w:left="88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1"/>
                <w:szCs w:val="21"/>
              </w:rPr>
              <w:t>序号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36" w:lineRule="exact"/>
              <w:ind w:left="3273" w:right="3525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1"/>
                <w:szCs w:val="21"/>
              </w:rPr>
              <w:t>参考书目</w:t>
            </w:r>
          </w:p>
        </w:tc>
      </w:tr>
      <w:tr w:rsidR="00360791">
        <w:trPr>
          <w:trHeight w:hRule="exact" w:val="46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 w:rsidP="008C45C8">
            <w:pPr>
              <w:autoSpaceDE w:val="0"/>
              <w:autoSpaceDN w:val="0"/>
              <w:adjustRightInd w:val="0"/>
              <w:spacing w:before="6" w:line="13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>
            <w:pPr>
              <w:autoSpaceDE w:val="0"/>
              <w:autoSpaceDN w:val="0"/>
              <w:adjustRightInd w:val="0"/>
              <w:spacing w:before="25"/>
              <w:ind w:left="107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水管锅炉（GB/T 16507.1～16507.8-2022）</w:t>
            </w:r>
          </w:p>
        </w:tc>
      </w:tr>
      <w:tr w:rsidR="00360791">
        <w:trPr>
          <w:trHeight w:hRule="exact" w:val="46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 w:rsidP="008C45C8">
            <w:pPr>
              <w:autoSpaceDE w:val="0"/>
              <w:autoSpaceDN w:val="0"/>
              <w:adjustRightInd w:val="0"/>
              <w:spacing w:before="6" w:line="13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>
            <w:pPr>
              <w:autoSpaceDE w:val="0"/>
              <w:autoSpaceDN w:val="0"/>
              <w:adjustRightInd w:val="0"/>
              <w:spacing w:before="25"/>
              <w:ind w:left="107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电力建设施工技术规范第2部分：锅炉机组（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DL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5190.2-2019）</w:t>
            </w:r>
          </w:p>
        </w:tc>
      </w:tr>
      <w:tr w:rsidR="00360791">
        <w:trPr>
          <w:trHeight w:hRule="exact" w:val="4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791" w:rsidRPr="00535484" w:rsidRDefault="00360791" w:rsidP="008C45C8">
            <w:pPr>
              <w:autoSpaceDE w:val="0"/>
              <w:autoSpaceDN w:val="0"/>
              <w:adjustRightInd w:val="0"/>
              <w:spacing w:before="6" w:line="13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535484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FA7497">
            <w:pPr>
              <w:autoSpaceDE w:val="0"/>
              <w:autoSpaceDN w:val="0"/>
              <w:adjustRightInd w:val="0"/>
              <w:spacing w:before="25"/>
              <w:ind w:left="107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火力发电厂金属技术监督规程（DL/T 438-2023）</w:t>
            </w:r>
          </w:p>
        </w:tc>
      </w:tr>
      <w:tr w:rsidR="00360791">
        <w:trPr>
          <w:trHeight w:hRule="exact" w:val="468"/>
        </w:trPr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791" w:rsidRPr="00535484" w:rsidRDefault="00360791" w:rsidP="008C45C8">
            <w:pPr>
              <w:autoSpaceDE w:val="0"/>
              <w:autoSpaceDN w:val="0"/>
              <w:adjustRightInd w:val="0"/>
              <w:spacing w:before="6" w:line="13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535484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FA7497">
            <w:pPr>
              <w:autoSpaceDE w:val="0"/>
              <w:autoSpaceDN w:val="0"/>
              <w:adjustRightInd w:val="0"/>
              <w:spacing w:before="25"/>
              <w:ind w:left="107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锅炉用材料入厂验收规则（NB/T10939-2022）</w:t>
            </w:r>
          </w:p>
        </w:tc>
      </w:tr>
      <w:tr w:rsidR="00360791">
        <w:trPr>
          <w:trHeight w:hRule="exact" w:val="471"/>
        </w:trPr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791" w:rsidRPr="00535484" w:rsidRDefault="00360791" w:rsidP="008C45C8">
            <w:pPr>
              <w:autoSpaceDE w:val="0"/>
              <w:autoSpaceDN w:val="0"/>
              <w:adjustRightInd w:val="0"/>
              <w:spacing w:before="6" w:line="13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535484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5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FA7497" w:rsidP="008C45C8">
            <w:pPr>
              <w:autoSpaceDE w:val="0"/>
              <w:autoSpaceDN w:val="0"/>
              <w:adjustRightInd w:val="0"/>
              <w:ind w:firstLineChars="50" w:firstLine="105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高压锅炉用无缝钢管（GB/T5310-2023）</w:t>
            </w:r>
          </w:p>
        </w:tc>
      </w:tr>
      <w:tr w:rsidR="00360791">
        <w:trPr>
          <w:trHeight w:hRule="exact" w:val="562"/>
        </w:trPr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791" w:rsidRPr="00535484" w:rsidRDefault="00360791" w:rsidP="008C45C8">
            <w:pPr>
              <w:autoSpaceDE w:val="0"/>
              <w:autoSpaceDN w:val="0"/>
              <w:adjustRightInd w:val="0"/>
              <w:spacing w:before="1" w:line="18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535484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6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FA7497">
            <w:pPr>
              <w:autoSpaceDE w:val="0"/>
              <w:autoSpaceDN w:val="0"/>
              <w:adjustRightInd w:val="0"/>
              <w:spacing w:before="70"/>
              <w:ind w:left="107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锅炉安全技术规程（TSG  11-2020）</w:t>
            </w:r>
          </w:p>
        </w:tc>
      </w:tr>
      <w:tr w:rsidR="00360791">
        <w:trPr>
          <w:trHeight w:hRule="exact" w:val="562"/>
        </w:trPr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8C45C8" w:rsidP="008C45C8">
            <w:pPr>
              <w:autoSpaceDE w:val="0"/>
              <w:autoSpaceDN w:val="0"/>
              <w:adjustRightInd w:val="0"/>
              <w:spacing w:before="70"/>
              <w:ind w:leftChars="51" w:left="107" w:right="-20" w:firstLineChars="100" w:firstLine="210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7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Pr="00535484" w:rsidRDefault="00FA7497">
            <w:pPr>
              <w:autoSpaceDE w:val="0"/>
              <w:autoSpaceDN w:val="0"/>
              <w:adjustRightInd w:val="0"/>
              <w:spacing w:before="70"/>
              <w:ind w:left="107" w:right="-20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35484">
              <w:rPr>
                <w:rFonts w:ascii="宋体" w:hAnsi="宋体" w:cs="宋体" w:hint="eastAsia"/>
                <w:kern w:val="0"/>
                <w:position w:val="-2"/>
                <w:szCs w:val="21"/>
              </w:rPr>
              <w:t>锅炉节能环保技术规程（TSG 91-2021）</w:t>
            </w:r>
          </w:p>
        </w:tc>
      </w:tr>
      <w:tr w:rsidR="00360791">
        <w:trPr>
          <w:trHeight w:hRule="exact" w:val="552"/>
        </w:trPr>
        <w:tc>
          <w:tcPr>
            <w:tcW w:w="7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60791" w:rsidRDefault="00360791" w:rsidP="008C45C8">
            <w:pPr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8C45C8">
            <w:pPr>
              <w:autoSpaceDE w:val="0"/>
              <w:autoSpaceDN w:val="0"/>
              <w:adjustRightInd w:val="0"/>
              <w:ind w:left="275" w:right="250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8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791" w:rsidRDefault="00FA7497">
            <w:pPr>
              <w:autoSpaceDE w:val="0"/>
              <w:autoSpaceDN w:val="0"/>
              <w:adjustRightInd w:val="0"/>
              <w:spacing w:before="65"/>
              <w:ind w:left="-1" w:right="-20" w:firstLineChars="50" w:firstLine="105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锅炉检验</w:t>
            </w:r>
            <w:proofErr w:type="gramStart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师培训</w:t>
            </w:r>
            <w:proofErr w:type="gramEnd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教材</w:t>
            </w:r>
          </w:p>
        </w:tc>
      </w:tr>
    </w:tbl>
    <w:p w:rsidR="00360791" w:rsidRDefault="00360791">
      <w:pPr>
        <w:autoSpaceDE w:val="0"/>
        <w:autoSpaceDN w:val="0"/>
        <w:adjustRightInd w:val="0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jc w:val="left"/>
        <w:rPr>
          <w:rFonts w:ascii="宋体"/>
          <w:kern w:val="0"/>
          <w:szCs w:val="21"/>
        </w:rPr>
        <w:sectPr w:rsidR="00360791">
          <w:type w:val="continuous"/>
          <w:pgSz w:w="11920" w:h="16840"/>
          <w:pgMar w:top="1500" w:right="1580" w:bottom="280" w:left="1580" w:header="720" w:footer="720" w:gutter="0"/>
          <w:cols w:space="720"/>
        </w:sectPr>
      </w:pPr>
    </w:p>
    <w:p w:rsidR="00360791" w:rsidRDefault="00360791">
      <w:pPr>
        <w:autoSpaceDE w:val="0"/>
        <w:autoSpaceDN w:val="0"/>
        <w:adjustRightInd w:val="0"/>
        <w:spacing w:before="3" w:line="180" w:lineRule="exact"/>
        <w:jc w:val="left"/>
        <w:rPr>
          <w:rFonts w:ascii="宋体"/>
          <w:kern w:val="0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432"/>
        <w:gridCol w:w="4406"/>
      </w:tblGrid>
      <w:tr w:rsidR="00360791">
        <w:trPr>
          <w:trHeight w:hRule="exact" w:val="4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45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序号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791" w:rsidRDefault="00360791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66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参考书目</w:t>
            </w:r>
          </w:p>
        </w:tc>
      </w:tr>
      <w:tr w:rsidR="00360791" w:rsidTr="0019119B">
        <w:trPr>
          <w:trHeight w:hRule="exact"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压力容器（GB/T 150.1～150.4-2011）（含 第1号修改单）</w:t>
            </w:r>
          </w:p>
        </w:tc>
      </w:tr>
      <w:tr w:rsidR="00360791" w:rsidTr="0019119B">
        <w:trPr>
          <w:trHeight w:hRule="exact" w:val="4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钢制球形储罐（GB/T 12337-2014）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</w:tc>
      </w:tr>
      <w:tr w:rsidR="00360791" w:rsidTr="0019119B">
        <w:trPr>
          <w:trHeight w:hRule="exact" w:val="46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cs="Microsoft JhengHei" w:hint="eastAsia"/>
                <w:kern w:val="0"/>
                <w:position w:val="-2"/>
                <w:szCs w:val="21"/>
              </w:rPr>
              <w:t>压力容器封头（</w:t>
            </w:r>
            <w:r>
              <w:rPr>
                <w:rFonts w:ascii="宋体" w:cs="Microsoft JhengHei"/>
                <w:kern w:val="0"/>
                <w:position w:val="-2"/>
                <w:szCs w:val="21"/>
              </w:rPr>
              <w:t>GB/T25198-2023)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Default="00360791">
            <w:pPr>
              <w:autoSpaceDE w:val="0"/>
              <w:autoSpaceDN w:val="0"/>
              <w:adjustRightInd w:val="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</w:tc>
      </w:tr>
      <w:tr w:rsidR="00360791" w:rsidTr="0019119B">
        <w:trPr>
          <w:trHeight w:hRule="exact" w:val="4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压力容器焊接规程（NB/T 47015-2023）</w:t>
            </w:r>
          </w:p>
        </w:tc>
      </w:tr>
      <w:tr w:rsidR="00360791" w:rsidTr="0019119B">
        <w:trPr>
          <w:trHeight w:hRule="exact" w:val="4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4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5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在用含缺陷压力容器安全评定（GB/T 19624-2019）</w:t>
            </w:r>
          </w:p>
        </w:tc>
      </w:tr>
      <w:tr w:rsidR="00360791" w:rsidTr="0019119B">
        <w:trPr>
          <w:trHeight w:hRule="exact" w:val="46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6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固定式压力容器安全技术监察规程（TSG  21-2016）（</w:t>
            </w:r>
            <w:proofErr w:type="gramStart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含第</w:t>
            </w:r>
            <w:proofErr w:type="gramEnd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 1 </w:t>
            </w:r>
            <w:proofErr w:type="gramStart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号修改单</w:t>
            </w:r>
            <w:proofErr w:type="gramEnd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）</w:t>
            </w:r>
          </w:p>
        </w:tc>
      </w:tr>
      <w:tr w:rsidR="00360791" w:rsidTr="0019119B">
        <w:trPr>
          <w:trHeight w:hRule="exact" w:val="63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1" w:line="19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7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285" w:lineRule="exact"/>
              <w:ind w:left="102" w:right="-8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承压设备系统基于风险的检验实施导则（GB/T 26610.1~2-2022，GB/T 26610.3-2014）</w:t>
            </w:r>
          </w:p>
          <w:p w:rsidR="00360791" w:rsidRDefault="00FA7497" w:rsidP="00535484">
            <w:pPr>
              <w:autoSpaceDE w:val="0"/>
              <w:autoSpaceDN w:val="0"/>
              <w:adjustRightInd w:val="0"/>
              <w:spacing w:line="313" w:lineRule="exact"/>
              <w:ind w:left="102" w:right="-20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GB/T 26610.4~5-2022）</w:t>
            </w:r>
          </w:p>
        </w:tc>
      </w:tr>
      <w:tr w:rsidR="00360791" w:rsidTr="0019119B">
        <w:trPr>
          <w:trHeight w:hRule="exact" w:val="4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91" w:rsidRDefault="00360791" w:rsidP="0019119B">
            <w:pPr>
              <w:autoSpaceDE w:val="0"/>
              <w:autoSpaceDN w:val="0"/>
              <w:adjustRightInd w:val="0"/>
              <w:spacing w:before="7" w:line="100" w:lineRule="exac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 w:rsidP="0019119B">
            <w:pPr>
              <w:autoSpaceDE w:val="0"/>
              <w:autoSpaceDN w:val="0"/>
              <w:adjustRightInd w:val="0"/>
              <w:ind w:left="268" w:right="248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0791" w:rsidRDefault="00FA7497" w:rsidP="00535484">
            <w:pPr>
              <w:autoSpaceDE w:val="0"/>
              <w:autoSpaceDN w:val="0"/>
              <w:adjustRightInd w:val="0"/>
              <w:spacing w:line="357" w:lineRule="exact"/>
              <w:ind w:left="102" w:right="-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压力容器检验</w:t>
            </w:r>
            <w:proofErr w:type="gramStart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师培训</w:t>
            </w:r>
            <w:proofErr w:type="gramEnd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教材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Cs w:val="21"/>
              </w:rPr>
            </w:pPr>
          </w:p>
        </w:tc>
      </w:tr>
    </w:tbl>
    <w:p w:rsidR="00360791" w:rsidRDefault="00360791">
      <w:pPr>
        <w:autoSpaceDE w:val="0"/>
        <w:autoSpaceDN w:val="0"/>
        <w:adjustRightInd w:val="0"/>
        <w:spacing w:before="3" w:line="120" w:lineRule="exact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  <w:szCs w:val="21"/>
        </w:rPr>
      </w:pPr>
    </w:p>
    <w:p w:rsidR="00360791" w:rsidRDefault="00360791">
      <w:pPr>
        <w:autoSpaceDE w:val="0"/>
        <w:autoSpaceDN w:val="0"/>
        <w:adjustRightInd w:val="0"/>
        <w:spacing w:line="200" w:lineRule="exact"/>
        <w:jc w:val="left"/>
        <w:rPr>
          <w:rFonts w:ascii="宋体"/>
          <w:kern w:val="0"/>
          <w:szCs w:val="21"/>
        </w:rPr>
      </w:pPr>
    </w:p>
    <w:p w:rsidR="00360791" w:rsidRDefault="00FA7497">
      <w:pPr>
        <w:autoSpaceDE w:val="0"/>
        <w:autoSpaceDN w:val="0"/>
        <w:adjustRightInd w:val="0"/>
        <w:spacing w:line="373" w:lineRule="exact"/>
        <w:ind w:left="3510" w:right="3488"/>
        <w:jc w:val="center"/>
        <w:rPr>
          <w:rFonts w:ascii="宋体" w:cs="Microsoft JhengHei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压力管道专业</w:t>
      </w:r>
    </w:p>
    <w:p w:rsidR="00360791" w:rsidRDefault="00360791">
      <w:pPr>
        <w:autoSpaceDE w:val="0"/>
        <w:autoSpaceDN w:val="0"/>
        <w:adjustRightInd w:val="0"/>
        <w:spacing w:before="9" w:line="130" w:lineRule="exact"/>
        <w:jc w:val="left"/>
        <w:rPr>
          <w:rFonts w:ascii="宋体" w:cs="Microsoft JhengHei"/>
          <w:kern w:val="0"/>
          <w:szCs w:val="2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895"/>
      </w:tblGrid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19" w:right="-2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序号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3485" w:right="3463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参考书目</w:t>
            </w:r>
          </w:p>
        </w:tc>
      </w:tr>
      <w:tr w:rsidR="00360791">
        <w:trPr>
          <w:trHeight w:hRule="exact" w:val="4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压力管道监督检验规则（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D7006-2020）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2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压力管道定期检验规则—长输管道（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TSG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D7003-2022）</w:t>
            </w:r>
          </w:p>
        </w:tc>
      </w:tr>
      <w:tr w:rsidR="00360791">
        <w:trPr>
          <w:trHeight w:hRule="exact" w:val="4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输气管道工程设计规范（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50251-2015）</w:t>
            </w:r>
          </w:p>
        </w:tc>
      </w:tr>
      <w:tr w:rsidR="00360791">
        <w:trPr>
          <w:trHeight w:hRule="exact" w:val="4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输油管道工程设计规范（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50253-2014）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压力管道规范—长输管道（GB/T 34275-2017）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6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油气长输管道工程施工及验收规范（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50369-2014）</w:t>
            </w:r>
          </w:p>
        </w:tc>
      </w:tr>
      <w:tr w:rsidR="00360791">
        <w:trPr>
          <w:trHeight w:hRule="exact" w:val="4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7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油气输送管道完整性管理规范（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32167-2015）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8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钢质管道内检测技术规范（GB/T 27699-2023）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582506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Pr="00582506" w:rsidRDefault="00FA7497">
            <w:pPr>
              <w:autoSpaceDE w:val="0"/>
              <w:autoSpaceDN w:val="0"/>
              <w:adjustRightInd w:val="0"/>
              <w:ind w:left="242" w:right="224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 w:rsidRPr="00582506">
              <w:rPr>
                <w:rFonts w:ascii="宋体" w:hAnsi="宋体" w:cs="宋体" w:hint="eastAsia"/>
                <w:kern w:val="0"/>
                <w:position w:val="-2"/>
                <w:szCs w:val="21"/>
              </w:rPr>
              <w:t>9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Pr="00582506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 w:rsidRPr="00582506">
              <w:rPr>
                <w:rFonts w:ascii="宋体" w:hAnsi="宋体" w:cs="宋体" w:hint="eastAsia"/>
                <w:kern w:val="0"/>
                <w:position w:val="-2"/>
                <w:szCs w:val="21"/>
              </w:rPr>
              <w:t>钢质管道焊接及验收（</w:t>
            </w:r>
            <w:r w:rsidR="0066180C" w:rsidRPr="00582506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GB/T </w:t>
            </w:r>
            <w:r w:rsidRPr="00582506">
              <w:rPr>
                <w:rFonts w:ascii="宋体" w:hAnsi="宋体" w:cs="宋体" w:hint="eastAsia"/>
                <w:kern w:val="0"/>
                <w:position w:val="-2"/>
                <w:szCs w:val="21"/>
              </w:rPr>
              <w:t>31032-2023）</w:t>
            </w:r>
          </w:p>
        </w:tc>
      </w:tr>
      <w:tr w:rsidR="00360791">
        <w:trPr>
          <w:trHeight w:hRule="exact" w:val="4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189" w:right="171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10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埋地钢质管道检验导则（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GB/T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37368-2019）</w:t>
            </w:r>
          </w:p>
        </w:tc>
      </w:tr>
      <w:tr w:rsidR="00360791">
        <w:trPr>
          <w:trHeight w:hRule="exact" w:val="4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189" w:right="171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11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基于风险的埋地钢质管道外损伤检验与评价（</w:t>
            </w:r>
            <w:r w:rsidR="0066180C">
              <w:rPr>
                <w:rFonts w:ascii="宋体" w:hAnsi="宋体" w:cs="宋体" w:hint="eastAsia"/>
                <w:kern w:val="0"/>
                <w:position w:val="-2"/>
                <w:szCs w:val="21"/>
              </w:rPr>
              <w:t xml:space="preserve">GB/T 30582-2014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）</w:t>
            </w:r>
          </w:p>
        </w:tc>
      </w:tr>
      <w:tr w:rsidR="00360791">
        <w:trPr>
          <w:trHeight w:hRule="exact"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360791">
            <w:pPr>
              <w:autoSpaceDE w:val="0"/>
              <w:autoSpaceDN w:val="0"/>
              <w:adjustRightInd w:val="0"/>
              <w:spacing w:before="7" w:line="100" w:lineRule="exact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</w:p>
          <w:p w:rsidR="00360791" w:rsidRDefault="00FA7497">
            <w:pPr>
              <w:autoSpaceDE w:val="0"/>
              <w:autoSpaceDN w:val="0"/>
              <w:adjustRightInd w:val="0"/>
              <w:ind w:left="189" w:right="171"/>
              <w:jc w:val="center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12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1" w:rsidRDefault="00FA7497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="宋体" w:cs="Microsoft JhengHei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压力管道检验</w:t>
            </w:r>
            <w:proofErr w:type="gramStart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师培训</w:t>
            </w:r>
            <w:proofErr w:type="gramEnd"/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教材</w:t>
            </w:r>
          </w:p>
        </w:tc>
      </w:tr>
    </w:tbl>
    <w:p w:rsidR="00360791" w:rsidRDefault="00360791">
      <w:pPr>
        <w:autoSpaceDE w:val="0"/>
        <w:autoSpaceDN w:val="0"/>
        <w:adjustRightInd w:val="0"/>
        <w:jc w:val="left"/>
        <w:rPr>
          <w:rFonts w:ascii="宋体"/>
          <w:kern w:val="0"/>
          <w:szCs w:val="21"/>
        </w:rPr>
        <w:sectPr w:rsidR="00360791">
          <w:headerReference w:type="default" r:id="rId9"/>
          <w:pgSz w:w="11920" w:h="16840"/>
          <w:pgMar w:top="1880" w:right="1560" w:bottom="280" w:left="1560" w:header="1611" w:footer="0" w:gutter="0"/>
          <w:pgNumType w:start="2"/>
          <w:cols w:space="720"/>
        </w:sectPr>
      </w:pPr>
    </w:p>
    <w:p w:rsidR="009E04A5" w:rsidRPr="00CC2688" w:rsidRDefault="009E04A5" w:rsidP="009E04A5">
      <w:pPr>
        <w:autoSpaceDE w:val="0"/>
        <w:autoSpaceDN w:val="0"/>
        <w:adjustRightInd w:val="0"/>
        <w:spacing w:line="374" w:lineRule="exact"/>
        <w:ind w:right="-20"/>
        <w:jc w:val="center"/>
        <w:rPr>
          <w:rFonts w:asciiTheme="minorEastAsia" w:cs="Microsoft JhengHei"/>
          <w:kern w:val="0"/>
          <w:szCs w:val="21"/>
        </w:rPr>
      </w:pPr>
      <w:r w:rsidRPr="00CC2688">
        <w:rPr>
          <w:rFonts w:asciiTheme="minorEastAsia" w:hAnsiTheme="minorEastAsia" w:cs="Microsoft JhengHei" w:hint="eastAsia"/>
          <w:kern w:val="0"/>
          <w:position w:val="-4"/>
          <w:szCs w:val="21"/>
        </w:rPr>
        <w:lastRenderedPageBreak/>
        <w:t>通用综合部分（机电类）</w:t>
      </w:r>
    </w:p>
    <w:p w:rsidR="009E04A5" w:rsidRPr="00CC2688" w:rsidRDefault="009E04A5" w:rsidP="009E04A5">
      <w:pPr>
        <w:autoSpaceDE w:val="0"/>
        <w:autoSpaceDN w:val="0"/>
        <w:adjustRightInd w:val="0"/>
        <w:spacing w:before="1" w:line="170" w:lineRule="exact"/>
        <w:jc w:val="left"/>
        <w:rPr>
          <w:rFonts w:asciiTheme="minorEastAsia" w:cs="Microsoft JhengHei"/>
          <w:kern w:val="0"/>
          <w:szCs w:val="21"/>
        </w:rPr>
      </w:pPr>
    </w:p>
    <w:tbl>
      <w:tblPr>
        <w:tblW w:w="8692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8081"/>
      </w:tblGrid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CC2688" w:rsidRDefault="009E04A5" w:rsidP="009E04A5">
            <w:pPr>
              <w:autoSpaceDE w:val="0"/>
              <w:autoSpaceDN w:val="0"/>
              <w:adjustRightInd w:val="0"/>
              <w:spacing w:line="357" w:lineRule="exact"/>
              <w:ind w:right="-20"/>
              <w:jc w:val="center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序号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4A5" w:rsidRPr="00CC2688" w:rsidRDefault="009E04A5" w:rsidP="00E9372B">
            <w:pPr>
              <w:autoSpaceDE w:val="0"/>
              <w:autoSpaceDN w:val="0"/>
              <w:adjustRightInd w:val="0"/>
              <w:spacing w:line="357" w:lineRule="exact"/>
              <w:ind w:left="3492" w:right="3472"/>
              <w:jc w:val="center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参考书目</w:t>
            </w:r>
          </w:p>
        </w:tc>
      </w:tr>
      <w:tr w:rsidR="009E04A5" w:rsidRPr="00CC2688" w:rsidTr="009E04A5">
        <w:trPr>
          <w:trHeight w:hRule="exact" w:val="46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Theme="minorEastAsia"/>
                <w:kern w:val="0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中华人民共和国特种设备安全法</w:t>
            </w:r>
          </w:p>
        </w:tc>
      </w:tr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Theme="minorEastAsia"/>
                <w:kern w:val="0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特种设备安全监察条例</w:t>
            </w:r>
          </w:p>
        </w:tc>
      </w:tr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特种设备目录（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 xml:space="preserve">2014 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年版）</w:t>
            </w:r>
          </w:p>
        </w:tc>
      </w:tr>
      <w:tr w:rsidR="009E04A5" w:rsidRPr="00CC2688" w:rsidTr="009E04A5">
        <w:trPr>
          <w:trHeight w:hRule="exact" w:val="46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4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特种设备使用管理规则（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08-2017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5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特种设备检验人员考核规则（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Z8002-2022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  <w:r w:rsidRPr="009E04A5">
              <w:rPr>
                <w:rFonts w:ascii="宋体" w:hAnsi="宋体" w:hint="eastAsia"/>
                <w:szCs w:val="21"/>
              </w:rPr>
              <w:t>（含第</w:t>
            </w:r>
            <w:r w:rsidRPr="009E04A5">
              <w:rPr>
                <w:rFonts w:ascii="宋体" w:hAnsi="宋体"/>
                <w:szCs w:val="21"/>
              </w:rPr>
              <w:t>1</w:t>
            </w:r>
            <w:r w:rsidRPr="009E04A5">
              <w:rPr>
                <w:rFonts w:ascii="宋体" w:hAnsi="宋体" w:hint="eastAsia"/>
                <w:szCs w:val="21"/>
              </w:rPr>
              <w:t>号修改单）</w:t>
            </w:r>
          </w:p>
        </w:tc>
      </w:tr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6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特种设备生产与充装单位许可规则（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07-2019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  <w:r w:rsidRPr="009E04A5">
              <w:rPr>
                <w:rFonts w:ascii="宋体" w:hAnsi="宋体" w:hint="eastAsia"/>
                <w:szCs w:val="21"/>
              </w:rPr>
              <w:t>（含第</w:t>
            </w:r>
            <w:r w:rsidRPr="009E04A5">
              <w:rPr>
                <w:rFonts w:ascii="宋体" w:hAnsi="宋体"/>
                <w:szCs w:val="21"/>
              </w:rPr>
              <w:t>1</w:t>
            </w:r>
            <w:r w:rsidRPr="009E04A5">
              <w:rPr>
                <w:rFonts w:ascii="宋体" w:hAnsi="宋体" w:hint="eastAsia"/>
                <w:szCs w:val="21"/>
              </w:rPr>
              <w:t>号、第</w:t>
            </w:r>
            <w:r w:rsidRPr="009E04A5">
              <w:rPr>
                <w:rFonts w:ascii="宋体" w:hAnsi="宋体"/>
                <w:szCs w:val="21"/>
              </w:rPr>
              <w:t>2</w:t>
            </w:r>
            <w:r w:rsidRPr="009E04A5">
              <w:rPr>
                <w:rFonts w:ascii="宋体" w:hAnsi="宋体" w:hint="eastAsia"/>
                <w:szCs w:val="21"/>
              </w:rPr>
              <w:t>号修改单）</w:t>
            </w:r>
          </w:p>
        </w:tc>
      </w:tr>
      <w:tr w:rsidR="009E04A5" w:rsidRPr="00CC2688" w:rsidTr="009E04A5">
        <w:trPr>
          <w:trHeight w:hRule="exact" w:val="46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7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3F462C">
            <w:pPr>
              <w:autoSpaceDE w:val="0"/>
              <w:autoSpaceDN w:val="0"/>
              <w:adjustRightInd w:val="0"/>
              <w:spacing w:line="357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特种设备检验机构核准规则（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Z7001-2021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9E04A5">
        <w:trPr>
          <w:trHeight w:hRule="exact" w:val="46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8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特种设备事故报告和调查处理规定（市场监督管理</w:t>
            </w:r>
            <w:proofErr w:type="gramStart"/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总局令第</w:t>
            </w:r>
            <w:proofErr w:type="gramEnd"/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 xml:space="preserve"> 50 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号）</w:t>
            </w:r>
          </w:p>
        </w:tc>
      </w:tr>
      <w:tr w:rsidR="009E04A5" w:rsidRPr="00CC2688" w:rsidTr="009E04A5">
        <w:trPr>
          <w:trHeight w:hRule="exact" w:val="5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277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D018B8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9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5" w:lineRule="exact"/>
              <w:ind w:left="102" w:right="-20"/>
              <w:jc w:val="lef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《特种设备事故报告和调查处理导则》（</w:t>
            </w:r>
            <w:r w:rsidRPr="009E04A5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03—2024</w:t>
            </w: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9E04A5">
        <w:trPr>
          <w:trHeight w:hRule="exact" w:val="57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9E04A5">
            <w:pPr>
              <w:autoSpaceDE w:val="0"/>
              <w:autoSpaceDN w:val="0"/>
              <w:adjustRightInd w:val="0"/>
              <w:ind w:right="172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10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line="357" w:lineRule="exact"/>
              <w:ind w:right="-20" w:firstLineChars="50" w:firstLine="105"/>
              <w:jc w:val="left"/>
              <w:rPr>
                <w:rFonts w:asciiTheme="minorEastAsia"/>
                <w:kern w:val="0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检验员（师）培训教材中机电类通用基础知识</w:t>
            </w:r>
          </w:p>
        </w:tc>
      </w:tr>
    </w:tbl>
    <w:p w:rsidR="009E04A5" w:rsidRPr="00CC2688" w:rsidRDefault="009E04A5" w:rsidP="009E04A5">
      <w:pPr>
        <w:autoSpaceDE w:val="0"/>
        <w:autoSpaceDN w:val="0"/>
        <w:adjustRightInd w:val="0"/>
        <w:spacing w:before="4" w:line="130" w:lineRule="exact"/>
        <w:jc w:val="left"/>
        <w:rPr>
          <w:rFonts w:asciiTheme="minorEastAsia"/>
          <w:kern w:val="0"/>
          <w:szCs w:val="21"/>
        </w:rPr>
      </w:pPr>
    </w:p>
    <w:p w:rsidR="009E04A5" w:rsidRPr="00CC2688" w:rsidRDefault="009E04A5" w:rsidP="009E04A5">
      <w:pPr>
        <w:autoSpaceDE w:val="0"/>
        <w:autoSpaceDN w:val="0"/>
        <w:adjustRightInd w:val="0"/>
        <w:spacing w:line="200" w:lineRule="exact"/>
        <w:jc w:val="left"/>
        <w:rPr>
          <w:rFonts w:asciiTheme="minorEastAsia"/>
          <w:kern w:val="0"/>
          <w:szCs w:val="21"/>
        </w:rPr>
      </w:pPr>
    </w:p>
    <w:p w:rsidR="009E04A5" w:rsidRPr="00CB2DBF" w:rsidRDefault="009E04A5" w:rsidP="009E04A5">
      <w:pPr>
        <w:autoSpaceDE w:val="0"/>
        <w:autoSpaceDN w:val="0"/>
        <w:adjustRightInd w:val="0"/>
        <w:spacing w:line="200" w:lineRule="exact"/>
        <w:jc w:val="left"/>
        <w:rPr>
          <w:rFonts w:asciiTheme="minorEastAsia"/>
          <w:kern w:val="0"/>
          <w:szCs w:val="21"/>
        </w:rPr>
      </w:pPr>
    </w:p>
    <w:p w:rsidR="009E04A5" w:rsidRPr="00CC2688" w:rsidRDefault="009E04A5" w:rsidP="009E04A5">
      <w:pPr>
        <w:autoSpaceDE w:val="0"/>
        <w:autoSpaceDN w:val="0"/>
        <w:adjustRightInd w:val="0"/>
        <w:spacing w:line="200" w:lineRule="exact"/>
        <w:jc w:val="left"/>
        <w:rPr>
          <w:rFonts w:asciiTheme="minorEastAsia"/>
          <w:kern w:val="0"/>
          <w:szCs w:val="21"/>
        </w:rPr>
      </w:pPr>
    </w:p>
    <w:p w:rsidR="009E04A5" w:rsidRPr="00CC2688" w:rsidRDefault="009E04A5" w:rsidP="009E04A5">
      <w:pPr>
        <w:autoSpaceDE w:val="0"/>
        <w:autoSpaceDN w:val="0"/>
        <w:adjustRightInd w:val="0"/>
        <w:spacing w:line="373" w:lineRule="exact"/>
        <w:ind w:left="3850" w:right="3828"/>
        <w:jc w:val="center"/>
        <w:rPr>
          <w:rFonts w:asciiTheme="minorEastAsia" w:cs="Microsoft JhengHei"/>
          <w:kern w:val="0"/>
          <w:szCs w:val="21"/>
        </w:rPr>
      </w:pPr>
      <w:r w:rsidRPr="00CC2688">
        <w:rPr>
          <w:rFonts w:asciiTheme="minorEastAsia" w:hAnsiTheme="minorEastAsia" w:cs="Microsoft JhengHei" w:hint="eastAsia"/>
          <w:kern w:val="0"/>
          <w:szCs w:val="21"/>
        </w:rPr>
        <w:t>电梯专业</w:t>
      </w:r>
    </w:p>
    <w:p w:rsidR="009E04A5" w:rsidRPr="00CC2688" w:rsidRDefault="009E04A5" w:rsidP="009E04A5">
      <w:pPr>
        <w:autoSpaceDE w:val="0"/>
        <w:autoSpaceDN w:val="0"/>
        <w:adjustRightInd w:val="0"/>
        <w:spacing w:before="1" w:line="150" w:lineRule="exact"/>
        <w:jc w:val="left"/>
        <w:rPr>
          <w:rFonts w:asciiTheme="minorEastAsia" w:cs="Microsoft JhengHei"/>
          <w:kern w:val="0"/>
          <w:szCs w:val="21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52"/>
        <w:gridCol w:w="4769"/>
      </w:tblGrid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CC2688" w:rsidRDefault="009E04A5" w:rsidP="001A787D">
            <w:pPr>
              <w:autoSpaceDE w:val="0"/>
              <w:autoSpaceDN w:val="0"/>
              <w:adjustRightInd w:val="0"/>
              <w:spacing w:before="3"/>
              <w:ind w:right="-20"/>
              <w:jc w:val="center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序号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4A5" w:rsidRPr="00CC2688" w:rsidRDefault="009E04A5" w:rsidP="001A787D">
            <w:pPr>
              <w:autoSpaceDE w:val="0"/>
              <w:autoSpaceDN w:val="0"/>
              <w:adjustRightInd w:val="0"/>
              <w:jc w:val="center"/>
              <w:rPr>
                <w:rFonts w:ascii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CC2688" w:rsidRDefault="009E04A5" w:rsidP="00E9372B">
            <w:pPr>
              <w:autoSpaceDE w:val="0"/>
              <w:autoSpaceDN w:val="0"/>
              <w:adjustRightInd w:val="0"/>
              <w:spacing w:before="3"/>
              <w:ind w:left="431" w:right="-20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参考书目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2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1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电梯监督检验和定期检验规则（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T7001—2023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2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2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电梯型式试验规则（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T7007—2022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2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3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autoSpaceDE w:val="0"/>
              <w:autoSpaceDN w:val="0"/>
              <w:adjustRightInd w:val="0"/>
              <w:spacing w:before="3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电梯自行检测规则（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TSG  T7008—2023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2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4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tabs>
                <w:tab w:val="left" w:pos="2620"/>
              </w:tabs>
              <w:autoSpaceDE w:val="0"/>
              <w:autoSpaceDN w:val="0"/>
              <w:adjustRightInd w:val="0"/>
              <w:spacing w:before="3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电梯制造与安装安全规范</w:t>
            </w:r>
            <w:r w:rsidRPr="00F4478F">
              <w:rPr>
                <w:rFonts w:asciiTheme="minorEastAsia" w:cs="Microsoft JhengHei"/>
                <w:kern w:val="0"/>
                <w:position w:val="-2"/>
                <w:szCs w:val="21"/>
              </w:rPr>
              <w:tab/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第</w:t>
            </w:r>
            <w:r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1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部分：乘客电梯和载货电梯（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GB/T 7588.1—2020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5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tabs>
                <w:tab w:val="left" w:pos="2680"/>
              </w:tabs>
              <w:autoSpaceDE w:val="0"/>
              <w:autoSpaceDN w:val="0"/>
              <w:adjustRightInd w:val="0"/>
              <w:spacing w:line="285" w:lineRule="exact"/>
              <w:ind w:left="102" w:right="-20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电梯制造与安装安全规范</w:t>
            </w:r>
            <w:r w:rsidRPr="00F4478F">
              <w:rPr>
                <w:rFonts w:asciiTheme="minorEastAsia" w:cs="Microsoft JhengHei"/>
                <w:kern w:val="0"/>
                <w:position w:val="-2"/>
                <w:szCs w:val="21"/>
              </w:rPr>
              <w:tab/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第</w:t>
            </w:r>
            <w:r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2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部分：电梯部件的设计原则、计算和检验（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GB/T</w:t>
            </w:r>
          </w:p>
          <w:p w:rsidR="009E04A5" w:rsidRPr="00F4478F" w:rsidRDefault="009E04A5" w:rsidP="00E9372B">
            <w:pPr>
              <w:autoSpaceDE w:val="0"/>
              <w:autoSpaceDN w:val="0"/>
              <w:adjustRightInd w:val="0"/>
              <w:spacing w:line="312" w:lineRule="exact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7588.2—2020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4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6</w:t>
            </w:r>
          </w:p>
        </w:tc>
        <w:tc>
          <w:tcPr>
            <w:tcW w:w="8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F4478F" w:rsidRDefault="009E04A5" w:rsidP="00E9372B">
            <w:pPr>
              <w:autoSpaceDE w:val="0"/>
              <w:autoSpaceDN w:val="0"/>
              <w:adjustRightInd w:val="0"/>
              <w:spacing w:before="3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自动扶梯和自动人行道的制造与安装安全规范（</w:t>
            </w:r>
            <w:r w:rsidRPr="00F4478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GB  16899—2011</w:t>
            </w: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）</w:t>
            </w:r>
          </w:p>
        </w:tc>
      </w:tr>
      <w:tr w:rsidR="009E04A5" w:rsidRPr="00CC2688" w:rsidTr="001A787D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1A787D">
            <w:pPr>
              <w:autoSpaceDE w:val="0"/>
              <w:autoSpaceDN w:val="0"/>
              <w:adjustRightInd w:val="0"/>
              <w:spacing w:before="2" w:line="110" w:lineRule="exact"/>
              <w:jc w:val="right"/>
              <w:rPr>
                <w:rFonts w:asciiTheme="minorEastAsia" w:cs="Microsoft JhengHei"/>
                <w:kern w:val="0"/>
                <w:position w:val="-2"/>
                <w:szCs w:val="21"/>
              </w:rPr>
            </w:pPr>
          </w:p>
          <w:p w:rsidR="009E04A5" w:rsidRPr="00AE16EF" w:rsidRDefault="009E04A5" w:rsidP="001A787D">
            <w:pPr>
              <w:autoSpaceDE w:val="0"/>
              <w:autoSpaceDN w:val="0"/>
              <w:adjustRightInd w:val="0"/>
              <w:ind w:right="253"/>
              <w:jc w:val="right"/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position w:val="-2"/>
                <w:szCs w:val="21"/>
              </w:rPr>
              <w:t>7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4A5" w:rsidRPr="00F4478F" w:rsidRDefault="009E04A5" w:rsidP="00E9372B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Theme="minorEastAsia" w:cs="Microsoft JhengHei"/>
                <w:kern w:val="0"/>
                <w:position w:val="-2"/>
                <w:szCs w:val="21"/>
              </w:rPr>
            </w:pPr>
            <w:r w:rsidRPr="00F4478F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电梯检验员（师）培训教材</w:t>
            </w:r>
          </w:p>
        </w:tc>
        <w:tc>
          <w:tcPr>
            <w:tcW w:w="4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4A5" w:rsidRPr="00CC2688" w:rsidRDefault="009E04A5" w:rsidP="00E9372B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kern w:val="0"/>
                <w:szCs w:val="21"/>
              </w:rPr>
            </w:pPr>
          </w:p>
        </w:tc>
      </w:tr>
    </w:tbl>
    <w:p w:rsidR="00360791" w:rsidRDefault="00360791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>
      <w:pPr>
        <w:rPr>
          <w:rFonts w:ascii="宋体"/>
          <w:szCs w:val="21"/>
        </w:rPr>
      </w:pPr>
    </w:p>
    <w:p w:rsidR="009E04A5" w:rsidRDefault="009E04A5" w:rsidP="009E04A5">
      <w:pPr>
        <w:tabs>
          <w:tab w:val="center" w:pos="2466"/>
          <w:tab w:val="left" w:pos="2535"/>
        </w:tabs>
        <w:autoSpaceDE w:val="0"/>
        <w:autoSpaceDN w:val="0"/>
        <w:adjustRightInd w:val="0"/>
        <w:spacing w:line="373" w:lineRule="exact"/>
        <w:ind w:right="3828"/>
        <w:jc w:val="left"/>
        <w:rPr>
          <w:rFonts w:asciiTheme="minorEastAsia" w:hAnsiTheme="minorEastAsia" w:cs="Microsoft JhengHei" w:hint="eastAsia"/>
          <w:kern w:val="0"/>
          <w:szCs w:val="21"/>
        </w:rPr>
      </w:pPr>
      <w:r>
        <w:rPr>
          <w:rFonts w:asciiTheme="minorEastAsia" w:hAnsiTheme="minorEastAsia" w:cs="Microsoft JhengHei" w:hint="eastAsia"/>
          <w:kern w:val="0"/>
          <w:szCs w:val="21"/>
        </w:rPr>
        <w:tab/>
        <w:t xml:space="preserve">        </w:t>
      </w:r>
      <w:r>
        <w:rPr>
          <w:rFonts w:asciiTheme="minorEastAsia" w:hAnsiTheme="minorEastAsia" w:cs="Microsoft JhengHei" w:hint="eastAsia"/>
          <w:kern w:val="0"/>
          <w:szCs w:val="21"/>
        </w:rPr>
        <w:tab/>
      </w:r>
      <w:r>
        <w:rPr>
          <w:rFonts w:asciiTheme="minorEastAsia" w:hAnsiTheme="minorEastAsia" w:cs="Microsoft JhengHei" w:hint="eastAsia"/>
          <w:kern w:val="0"/>
          <w:szCs w:val="21"/>
        </w:rPr>
        <w:t>起重机械</w:t>
      </w:r>
      <w:r w:rsidRPr="00CC2688">
        <w:rPr>
          <w:rFonts w:asciiTheme="minorEastAsia" w:hAnsiTheme="minorEastAsia" w:cs="Microsoft JhengHei" w:hint="eastAsia"/>
          <w:kern w:val="0"/>
          <w:szCs w:val="21"/>
        </w:rPr>
        <w:t>专业</w:t>
      </w:r>
    </w:p>
    <w:p w:rsidR="009E04A5" w:rsidRDefault="009E04A5" w:rsidP="009E04A5">
      <w:pPr>
        <w:tabs>
          <w:tab w:val="center" w:pos="2466"/>
          <w:tab w:val="left" w:pos="2535"/>
        </w:tabs>
        <w:autoSpaceDE w:val="0"/>
        <w:autoSpaceDN w:val="0"/>
        <w:adjustRightInd w:val="0"/>
        <w:spacing w:line="373" w:lineRule="exact"/>
        <w:ind w:right="3828"/>
        <w:jc w:val="left"/>
        <w:rPr>
          <w:rFonts w:asciiTheme="minorEastAsia" w:hAnsiTheme="minorEastAsia" w:cs="Microsoft JhengHei" w:hint="eastAsia"/>
          <w:kern w:val="0"/>
          <w:szCs w:val="2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7737"/>
      </w:tblGrid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CC2688" w:rsidRDefault="009E04A5" w:rsidP="00E9372B">
            <w:pPr>
              <w:autoSpaceDE w:val="0"/>
              <w:autoSpaceDN w:val="0"/>
              <w:adjustRightInd w:val="0"/>
              <w:spacing w:before="1"/>
              <w:ind w:left="141" w:right="-20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序号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CC2688" w:rsidRDefault="009E04A5" w:rsidP="00E9372B">
            <w:pPr>
              <w:autoSpaceDE w:val="0"/>
              <w:autoSpaceDN w:val="0"/>
              <w:adjustRightInd w:val="0"/>
              <w:spacing w:line="369" w:lineRule="exact"/>
              <w:ind w:left="3438" w:right="3311"/>
              <w:rPr>
                <w:rFonts w:asciiTheme="minorEastAsia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position w:val="-2"/>
                <w:szCs w:val="21"/>
              </w:rPr>
              <w:t>参考书目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9E04A5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9E04A5">
              <w:rPr>
                <w:rFonts w:asciiTheme="minorEastAsia" w:hAnsiTheme="minorEastAsia" w:cs="Microsoft JhengHei"/>
                <w:kern w:val="0"/>
                <w:szCs w:val="21"/>
              </w:rPr>
              <w:t>1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9E04A5" w:rsidRDefault="009E04A5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9E04A5">
              <w:rPr>
                <w:rFonts w:asciiTheme="minorEastAsia" w:hAnsiTheme="minorEastAsia" w:cs="Microsoft JhengHei" w:hint="eastAsia"/>
                <w:kern w:val="0"/>
                <w:szCs w:val="21"/>
              </w:rPr>
              <w:t>起重机械安全技术规程（</w:t>
            </w:r>
            <w:r w:rsidRPr="009E04A5">
              <w:rPr>
                <w:rFonts w:asciiTheme="minorEastAsia" w:hAnsiTheme="minorEastAsia" w:cs="Microsoft JhengHei"/>
                <w:kern w:val="0"/>
                <w:szCs w:val="21"/>
              </w:rPr>
              <w:t>TSG 51-2023</w:t>
            </w:r>
            <w:r w:rsidRPr="009E04A5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  <w:r w:rsidRPr="009E04A5">
              <w:rPr>
                <w:rFonts w:ascii="宋体" w:hAnsi="宋体" w:hint="eastAsia"/>
                <w:szCs w:val="21"/>
              </w:rPr>
              <w:t>（含第</w:t>
            </w:r>
            <w:r w:rsidRPr="009E04A5">
              <w:rPr>
                <w:rFonts w:ascii="宋体" w:hAnsi="宋体"/>
                <w:szCs w:val="21"/>
              </w:rPr>
              <w:t>1</w:t>
            </w:r>
            <w:r w:rsidRPr="009E04A5">
              <w:rPr>
                <w:rFonts w:ascii="宋体" w:hAnsi="宋体" w:hint="eastAsia"/>
                <w:szCs w:val="21"/>
              </w:rPr>
              <w:t>号修改单）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2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起重机械安全规程</w:t>
            </w:r>
            <w:r w:rsidRPr="00CC2688">
              <w:rPr>
                <w:rFonts w:asciiTheme="minorEastAsia" w:hAnsiTheme="minorEastAsia" w:cs="Microsoft JhengHei"/>
                <w:kern w:val="0"/>
                <w:szCs w:val="21"/>
              </w:rPr>
              <w:t xml:space="preserve"> </w:t>
            </w:r>
            <w:r w:rsidRPr="00AE16EF">
              <w:rPr>
                <w:rFonts w:asciiTheme="minorEastAsia" w:hAnsiTheme="minorEastAsia" w:cs="Microsoft JhengHei" w:hint="eastAsia"/>
                <w:kern w:val="0"/>
                <w:szCs w:val="21"/>
              </w:rPr>
              <w:t>第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1</w:t>
            </w:r>
            <w:r w:rsidRPr="00AE16EF">
              <w:rPr>
                <w:rFonts w:asciiTheme="minorEastAsia" w:hAnsiTheme="minorEastAsia" w:cs="Microsoft JhengHei" w:hint="eastAsia"/>
                <w:kern w:val="0"/>
                <w:szCs w:val="21"/>
              </w:rPr>
              <w:t>部分：总则（</w:t>
            </w:r>
            <w:r>
              <w:rPr>
                <w:rFonts w:asciiTheme="minorEastAsia" w:hAnsiTheme="minorEastAsia" w:cs="Microsoft JhengHei"/>
                <w:kern w:val="0"/>
                <w:szCs w:val="21"/>
              </w:rPr>
              <w:t xml:space="preserve">GB/T 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6067.1-2010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4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3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3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起重机械安全规程</w:t>
            </w:r>
            <w:r w:rsidRPr="00CC2688">
              <w:rPr>
                <w:rFonts w:asciiTheme="minorEastAsia" w:hAnsiTheme="minorEastAsia" w:cs="Microsoft JhengHei"/>
                <w:kern w:val="0"/>
                <w:szCs w:val="21"/>
              </w:rPr>
              <w:t xml:space="preserve"> 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第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5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部分：桥式和门式起重机（</w:t>
            </w:r>
            <w:r>
              <w:rPr>
                <w:rFonts w:asciiTheme="minorEastAsia" w:hAnsiTheme="minorEastAsia" w:cs="Microsoft JhengHei"/>
                <w:kern w:val="0"/>
                <w:szCs w:val="21"/>
              </w:rPr>
              <w:t xml:space="preserve">GB/T 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6067.5-2014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4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 w:hint="eastAsia"/>
                <w:kern w:val="0"/>
                <w:szCs w:val="21"/>
              </w:rPr>
              <w:t>起重机械设计规范（</w:t>
            </w:r>
            <w:r>
              <w:rPr>
                <w:rFonts w:asciiTheme="minorEastAsia" w:hAnsiTheme="minorEastAsia" w:cs="Microsoft JhengHei"/>
                <w:kern w:val="0"/>
                <w:szCs w:val="21"/>
              </w:rPr>
              <w:t xml:space="preserve">GB/T 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3811-2008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5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通用桥式起重机（</w:t>
            </w:r>
            <w:r>
              <w:rPr>
                <w:rFonts w:asciiTheme="minorEastAsia" w:hAnsiTheme="minorEastAsia" w:cs="Microsoft JhengHei"/>
                <w:kern w:val="0"/>
                <w:szCs w:val="21"/>
              </w:rPr>
              <w:t xml:space="preserve">GB/T 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14405-2011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6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247097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冶金起重机技术条件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 xml:space="preserve"> 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第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5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部分：铸造起重机（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JB/T7688.5-2012</w:t>
            </w:r>
            <w:r w:rsidRPr="00247097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7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1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通用门式起重机（</w:t>
            </w: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GB/T  14406-2011</w:t>
            </w:r>
            <w:r w:rsidRPr="00CC2688">
              <w:rPr>
                <w:rFonts w:asciiTheme="minorEastAsia" w:hAnsiTheme="minorEastAsia" w:cs="Microsoft JhengHei" w:hint="eastAsia"/>
                <w:kern w:val="0"/>
                <w:szCs w:val="21"/>
              </w:rPr>
              <w:t>）</w:t>
            </w:r>
          </w:p>
        </w:tc>
      </w:tr>
      <w:tr w:rsidR="009E04A5" w:rsidRPr="00CC2688" w:rsidTr="00E9372B">
        <w:trPr>
          <w:trHeight w:hRule="exact"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before="2" w:line="110" w:lineRule="exact"/>
              <w:rPr>
                <w:rFonts w:asciiTheme="minorEastAsia" w:cs="Microsoft JhengHei"/>
                <w:kern w:val="0"/>
                <w:szCs w:val="21"/>
              </w:rPr>
            </w:pPr>
          </w:p>
          <w:p w:rsidR="009E04A5" w:rsidRPr="00AE16EF" w:rsidRDefault="009E04A5" w:rsidP="00E9372B">
            <w:pPr>
              <w:autoSpaceDE w:val="0"/>
              <w:autoSpaceDN w:val="0"/>
              <w:adjustRightInd w:val="0"/>
              <w:ind w:left="263" w:right="234"/>
              <w:rPr>
                <w:rFonts w:asciiTheme="minorEastAsia" w:hAnsiTheme="minorEastAsia" w:cs="Microsoft JhengHei" w:hint="eastAsia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/>
                <w:kern w:val="0"/>
                <w:szCs w:val="21"/>
              </w:rPr>
              <w:t>8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4A5" w:rsidRPr="00AE16EF" w:rsidRDefault="009E04A5" w:rsidP="00E9372B">
            <w:pPr>
              <w:autoSpaceDE w:val="0"/>
              <w:autoSpaceDN w:val="0"/>
              <w:adjustRightInd w:val="0"/>
              <w:spacing w:line="369" w:lineRule="exact"/>
              <w:ind w:left="107" w:right="-20"/>
              <w:rPr>
                <w:rFonts w:asciiTheme="minorEastAsia" w:cs="Microsoft JhengHei"/>
                <w:kern w:val="0"/>
                <w:szCs w:val="21"/>
              </w:rPr>
            </w:pPr>
            <w:r w:rsidRPr="00AE16EF">
              <w:rPr>
                <w:rFonts w:asciiTheme="minorEastAsia" w:hAnsiTheme="minorEastAsia" w:cs="Microsoft JhengHei" w:hint="eastAsia"/>
                <w:kern w:val="0"/>
                <w:szCs w:val="21"/>
              </w:rPr>
              <w:t>起重机械检验员（师）培训教材</w:t>
            </w:r>
          </w:p>
        </w:tc>
      </w:tr>
    </w:tbl>
    <w:p w:rsidR="009E04A5" w:rsidRPr="009E04A5" w:rsidRDefault="009E04A5" w:rsidP="009E04A5">
      <w:pPr>
        <w:tabs>
          <w:tab w:val="center" w:pos="2466"/>
          <w:tab w:val="left" w:pos="2535"/>
        </w:tabs>
        <w:autoSpaceDE w:val="0"/>
        <w:autoSpaceDN w:val="0"/>
        <w:adjustRightInd w:val="0"/>
        <w:spacing w:line="373" w:lineRule="exact"/>
        <w:ind w:right="3828"/>
        <w:jc w:val="left"/>
        <w:rPr>
          <w:rFonts w:ascii="宋体"/>
          <w:szCs w:val="21"/>
        </w:rPr>
      </w:pPr>
    </w:p>
    <w:sectPr w:rsidR="009E04A5" w:rsidRPr="009E04A5">
      <w:headerReference w:type="default" r:id="rId10"/>
      <w:pgSz w:w="11920" w:h="16840"/>
      <w:pgMar w:top="1880" w:right="1580" w:bottom="280" w:left="1580" w:header="16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B8" w:rsidRDefault="00B56BB8">
      <w:r>
        <w:separator/>
      </w:r>
    </w:p>
  </w:endnote>
  <w:endnote w:type="continuationSeparator" w:id="0">
    <w:p w:rsidR="00B56BB8" w:rsidRDefault="00B5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B8" w:rsidRDefault="00B56BB8">
      <w:r>
        <w:separator/>
      </w:r>
    </w:p>
  </w:footnote>
  <w:footnote w:type="continuationSeparator" w:id="0">
    <w:p w:rsidR="00B56BB8" w:rsidRDefault="00B5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1" w:rsidRDefault="00FA7497">
    <w:pPr>
      <w:autoSpaceDE w:val="0"/>
      <w:autoSpaceDN w:val="0"/>
      <w:adjustRightInd w:val="0"/>
      <w:spacing w:line="200" w:lineRule="exact"/>
      <w:jc w:val="left"/>
      <w:rPr>
        <w:rFonts w:asci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571668" wp14:editId="59038A18">
              <wp:simplePos x="0" y="0"/>
              <wp:positionH relativeFrom="page">
                <wp:posOffset>3232785</wp:posOffset>
              </wp:positionH>
              <wp:positionV relativeFrom="page">
                <wp:posOffset>1010285</wp:posOffset>
              </wp:positionV>
              <wp:extent cx="1096645" cy="203835"/>
              <wp:effectExtent l="0" t="0" r="0" b="0"/>
              <wp:wrapNone/>
              <wp:docPr id="209206051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0791" w:rsidRDefault="00FA7497">
                          <w:pPr>
                            <w:autoSpaceDE w:val="0"/>
                            <w:autoSpaceDN w:val="0"/>
                            <w:adjustRightInd w:val="0"/>
                            <w:spacing w:line="321" w:lineRule="exact"/>
                            <w:ind w:left="20" w:right="-62"/>
                            <w:jc w:val="left"/>
                            <w:rPr>
                              <w:rFonts w:cs="宋体"/>
                              <w:b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kern w:val="0"/>
                              <w:szCs w:val="21"/>
                            </w:rPr>
                            <w:t>压力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spacing w:val="2"/>
                              <w:kern w:val="0"/>
                              <w:szCs w:val="21"/>
                            </w:rPr>
                            <w:t>容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kern w:val="0"/>
                              <w:szCs w:val="21"/>
                            </w:rPr>
                            <w:t>器专业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54.55pt;margin-top:79.55pt;height:16.05pt;width:86.3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ELbV9gAAAAL&#10;AQAADwAAAGRycy9kb3ducmV2LnhtbE2PzU7DMBCE70h9B2srcaO2KzVqQpwKITghIdJw4OjEbmI1&#10;XofY/eHt2Z7gtrszmv2m3F39yM52ji6gArkSwCx2wTjsFXw2rw9bYDFpNHoMaBX82Ai7anFX6sKE&#10;C9b2vE89oxCMhVYwpDQVnMdusF7HVZgsknYIs9eJ1rnnZtYXCvcjXwuRca8d0odBT/Z5sN1xf/IK&#10;nr6wfnHf7+1Hfahd0+QC37KjUvdLKR6BJXtNf2a44RM6VMTUhhOayEYFG5FLspKwuQ3kyLaSyrR0&#10;yeUaeFXy/x2qX1BLAwQUAAAACACHTuJAi2KqzhQCAAAOBAAADgAAAGRycy9lMm9Eb2MueG1srVNL&#10;btswEN0X6B0I7mvJTm0kguUgjZGiQPoB0h6ApiiLqMhhh7Ql9wDtDbLqpvuey+fokLLdNN1k0Y0w&#10;Ijlv3nt8nF/2pmVbhV6DLfl4lHOmrIRK23XJP328eXHOmQ/CVqIFq0q+U55fLp4/m3euUBNooK0U&#10;MgKxvuhcyZsQXJFlXjbKCD8Cpyxt1oBGBPrFdVah6AjdtNkkz2dZB1g5BKm8p9XlsMkPiPgUQKhr&#10;LdUS5MYoGwZUVK0IJMk32nm+SGzrWsnwvq69CqwtOSkN6UtDqF7Fb7aYi2KNwjVaHiiIp1B4pMkI&#10;bWnoCWopgmAb1P9AGS0RPNRhJMFkg5DkCKkY54+8uWuEU0kLWe3dyXT//2Dlu+0HZLoq+SS/mOSz&#10;fDqecWaFoZvf33/f//i1//mNjaNPnfMFHb9z1BD6V9BTepJm725BfvbMwnUj7FpdIULXKFERz9SZ&#10;PWgdcHwEWXVvoaI5YhMgAfU1mmgi2cIIne5od7oj1Qcm48j8YjZ7OeVM0t4kPzs/m0ZymSiO3Q59&#10;eK3AsFiUHCkDCV1sb30Yjh6PxGEWbnTbphy09q8FwowriX0kPFAP/ao/uLGCakc6EIZY0aOiogH8&#10;yllHkSq5/7IRqDhr31jyIubvWOCxWB0LYSW1ljxwNpTXYcjpxqFeN4Q8uG3hivyqdZISjR1YHHhS&#10;TJIZh0jHHD78T6f+POP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xC21fYAAAACwEAAA8AAAAA&#10;AAAAAQAgAAAAIgAAAGRycy9kb3ducmV2LnhtbFBLAQIUABQAAAAIAIdO4kCLYqrOFAIAAA4EAAAO&#10;AAAAAAAAAAEAIAAAACc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20847B">
                    <w:pPr>
                      <w:autoSpaceDE w:val="0"/>
                      <w:autoSpaceDN w:val="0"/>
                      <w:adjustRightInd w:val="0"/>
                      <w:spacing w:line="321" w:lineRule="exact"/>
                      <w:ind w:left="20" w:right="-62"/>
                      <w:jc w:val="left"/>
                      <w:rPr>
                        <w:rFonts w:cs="宋体"/>
                        <w:b/>
                        <w:kern w:val="0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kern w:val="0"/>
                        <w:szCs w:val="21"/>
                      </w:rPr>
                      <w:t>压力</w:t>
                    </w:r>
                    <w:r>
                      <w:rPr>
                        <w:rFonts w:hint="eastAsia" w:ascii="宋体" w:hAnsi="宋体" w:cs="宋体"/>
                        <w:b/>
                        <w:spacing w:val="2"/>
                        <w:kern w:val="0"/>
                        <w:szCs w:val="21"/>
                      </w:rPr>
                      <w:t>容</w:t>
                    </w:r>
                    <w:r>
                      <w:rPr>
                        <w:rFonts w:hint="eastAsia" w:ascii="宋体" w:hAnsi="宋体" w:cs="宋体"/>
                        <w:b/>
                        <w:kern w:val="0"/>
                        <w:szCs w:val="21"/>
                      </w:rPr>
                      <w:t>器专业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91" w:rsidRDefault="00360791">
    <w:pPr>
      <w:autoSpaceDE w:val="0"/>
      <w:autoSpaceDN w:val="0"/>
      <w:adjustRightInd w:val="0"/>
      <w:spacing w:line="200" w:lineRule="exact"/>
      <w:jc w:val="left"/>
      <w:rPr>
        <w:rFonts w:ascii="Times New Roman"/>
        <w:kern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581FB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936EE8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310536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1ADCB4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984868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C2FC0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A84D7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96026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26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7F8F5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GNlOGNhZGUzMGMwNzVkY2E3MDUwM2VmMGQ1ODQifQ=="/>
  </w:docVars>
  <w:rsids>
    <w:rsidRoot w:val="00777310"/>
    <w:rsid w:val="00122E97"/>
    <w:rsid w:val="0019119B"/>
    <w:rsid w:val="001A787D"/>
    <w:rsid w:val="001B419D"/>
    <w:rsid w:val="001C4872"/>
    <w:rsid w:val="00247097"/>
    <w:rsid w:val="0033191C"/>
    <w:rsid w:val="00360791"/>
    <w:rsid w:val="00360CE2"/>
    <w:rsid w:val="003F462C"/>
    <w:rsid w:val="00416E04"/>
    <w:rsid w:val="004F16BD"/>
    <w:rsid w:val="00535484"/>
    <w:rsid w:val="00582506"/>
    <w:rsid w:val="0066180C"/>
    <w:rsid w:val="006C0066"/>
    <w:rsid w:val="00777310"/>
    <w:rsid w:val="008C45C8"/>
    <w:rsid w:val="009C0B52"/>
    <w:rsid w:val="009E04A5"/>
    <w:rsid w:val="00A76F75"/>
    <w:rsid w:val="00B56BB8"/>
    <w:rsid w:val="00BE54AD"/>
    <w:rsid w:val="00FA7497"/>
    <w:rsid w:val="090B5543"/>
    <w:rsid w:val="158B5AD9"/>
    <w:rsid w:val="199724DC"/>
    <w:rsid w:val="2846206F"/>
    <w:rsid w:val="3B4E14F1"/>
    <w:rsid w:val="40575B50"/>
    <w:rsid w:val="47C41B33"/>
    <w:rsid w:val="6F9B77A5"/>
    <w:rsid w:val="7E6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unhideWhenUsed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unhideWhenUsed/>
    <w:locked/>
    <w:rPr>
      <w:sz w:val="18"/>
      <w:szCs w:val="18"/>
    </w:rPr>
  </w:style>
  <w:style w:type="character" w:customStyle="1" w:styleId="a5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nhideWhenUsed="1" w:qFormat="0"/>
    <w:lsdException w:name="No Spacing" w:semiHidden="1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nhideWhenUsed="1" w:qFormat="0"/>
    <w:lsdException w:name="List Paragraph" w:semiHidden="1" w:unhideWhenUsed="1" w:qFormat="0"/>
    <w:lsdException w:name="Quote" w:semiHidden="1" w:unhideWhenUsed="1" w:qFormat="0"/>
    <w:lsdException w:name="Intense Quote" w:semiHidden="1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unhideWhenUsed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unhideWhenUsed/>
    <w:locked/>
    <w:rPr>
      <w:sz w:val="18"/>
      <w:szCs w:val="18"/>
    </w:rPr>
  </w:style>
  <w:style w:type="character" w:customStyle="1" w:styleId="a5">
    <w:name w:val="页脚 字符"/>
    <w:basedOn w:val="a0"/>
    <w:uiPriority w:val="99"/>
    <w:semiHidden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whtjz</dc:creator>
  <cp:lastModifiedBy>董玉鑫</cp:lastModifiedBy>
  <cp:revision>15</cp:revision>
  <dcterms:created xsi:type="dcterms:W3CDTF">2024-11-20T13:40:00Z</dcterms:created>
  <dcterms:modified xsi:type="dcterms:W3CDTF">2024-11-22T02:13:00Z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284404309782443AA0357A015712139C_12</vt:lpwstr>
  </property>
</Properties>
</file>