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32CF1">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中国特种设备检验协会“十五五”发展规划</w:t>
      </w:r>
    </w:p>
    <w:p w14:paraId="32C0242B">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（2026—2030年）</w:t>
      </w:r>
    </w:p>
    <w:p w14:paraId="16C0E929">
      <w:pPr>
        <w:keepNext w:val="0"/>
        <w:keepLines w:val="0"/>
        <w:pageBreakBefore w:val="0"/>
        <w:widowControl/>
        <w:kinsoku/>
        <w:wordWrap/>
        <w:overflowPunct/>
        <w:topLinePunct w:val="0"/>
        <w:autoSpaceDE/>
        <w:autoSpaceDN/>
        <w:bidi w:val="0"/>
        <w:adjustRightInd/>
        <w:snapToGrid/>
        <w:spacing w:line="400" w:lineRule="exact"/>
        <w:ind w:firstLine="640" w:firstLineChars="200"/>
        <w:jc w:val="both"/>
        <w:textAlignment w:val="auto"/>
        <w:rPr>
          <w:rFonts w:ascii="Times New Roman" w:hAnsi="Times New Roman" w:eastAsia="仿宋_GB2312"/>
          <w:sz w:val="32"/>
          <w:szCs w:val="32"/>
        </w:rPr>
      </w:pPr>
      <w:bookmarkStart w:id="0" w:name="_GoBack"/>
      <w:bookmarkEnd w:id="0"/>
    </w:p>
    <w:p w14:paraId="68A8DD3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为深入贯彻党中央、国务院关于推动行业协会商会深化改革与社会组织高质量发展的决策部署，全面对接特种设备安全与节能事业发展“十五五”规划及市场监管总局关于特检机构高质量发展、科技创新、国际化发展等系列指导意见，立足特种设备检验检测行业实际，充分发挥协会桥梁纽带与技术支撑作用，推动特种设备安全治理体系和治理能力现代化，特制定本规划。</w:t>
      </w:r>
    </w:p>
    <w:p w14:paraId="313A5EB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14:paraId="274F877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（一）指导思想</w:t>
      </w:r>
    </w:p>
    <w:p w14:paraId="310DA26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以习近平新时代中国特色社会主义思想为指导，全面贯彻党的二十大和二十届历次全会精神，坚持人民至上、生命至上，完整、准确、全面贯彻新发展理念，以推动高质量发展为主题，以改革创新为根本动力，切实履行服务国家、服务社会、服务群众、服务行业职责，为构建特种设备安全治理体系和治理能力现代化，建设更高水平平安中国、推动经济社会高质量发展提供坚实保障。</w:t>
      </w:r>
    </w:p>
    <w:p w14:paraId="731CE52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（二）基本原则</w:t>
      </w:r>
    </w:p>
    <w:p w14:paraId="36909DF4">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坚持党建引领，把稳政治方向。</w:t>
      </w:r>
      <w:r>
        <w:rPr>
          <w:rFonts w:hint="eastAsia" w:ascii="Times New Roman" w:hAnsi="Times New Roman" w:eastAsia="仿宋_GB2312"/>
          <w:sz w:val="32"/>
          <w:szCs w:val="32"/>
        </w:rPr>
        <w:t>将党的领导全面融入协会治理各环节、全过程，以高质量党建引领协会高质量发展，确保协会始终沿着正确方向前行。</w:t>
      </w:r>
    </w:p>
    <w:p w14:paraId="650872E1">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坚持服务大局，强化使命担当。</w:t>
      </w:r>
      <w:r>
        <w:rPr>
          <w:rFonts w:hint="eastAsia" w:ascii="Times New Roman" w:hAnsi="Times New Roman" w:eastAsia="仿宋_GB2312"/>
          <w:sz w:val="32"/>
          <w:szCs w:val="32"/>
        </w:rPr>
        <w:t>聚焦特种设备安全监管中心工作，在支撑政府决策、守牢安全底线、服务产业升级中彰显价值、体现作为。</w:t>
      </w:r>
    </w:p>
    <w:p w14:paraId="102C0865">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坚持创新驱动，培育发展动能。</w:t>
      </w:r>
      <w:r>
        <w:rPr>
          <w:rFonts w:hint="eastAsia" w:ascii="Times New Roman" w:hAnsi="Times New Roman" w:eastAsia="仿宋_GB2312"/>
          <w:sz w:val="32"/>
          <w:szCs w:val="32"/>
        </w:rPr>
        <w:t>瞄准科技前沿与行业痛点，聚力关键核心技术攻关、标准引领与数字化转型，加快培育新质生产力。</w:t>
      </w:r>
    </w:p>
    <w:p w14:paraId="044AB854">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坚持规范治理，提升发展能级。</w:t>
      </w:r>
      <w:r>
        <w:rPr>
          <w:rFonts w:hint="eastAsia" w:ascii="Times New Roman" w:hAnsi="Times New Roman" w:eastAsia="仿宋_GB2312"/>
          <w:sz w:val="32"/>
          <w:szCs w:val="32"/>
        </w:rPr>
        <w:t>完善依法治理体系，健全内部管理制度，全面提升专业化、规范化、国际化水平，致力打造中国特色一流行业协会。</w:t>
      </w:r>
    </w:p>
    <w:p w14:paraId="418E136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（三）发展目标</w:t>
      </w:r>
    </w:p>
    <w:p w14:paraId="028A582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到</w:t>
      </w:r>
      <w:r>
        <w:rPr>
          <w:rFonts w:ascii="Times New Roman" w:hAnsi="Times New Roman" w:eastAsia="仿宋_GB2312"/>
          <w:sz w:val="32"/>
          <w:szCs w:val="32"/>
        </w:rPr>
        <w:t>2030</w:t>
      </w:r>
      <w:r>
        <w:rPr>
          <w:rFonts w:hint="eastAsia" w:ascii="Times New Roman" w:hAnsi="Times New Roman" w:eastAsia="仿宋_GB2312"/>
          <w:sz w:val="32"/>
          <w:szCs w:val="32"/>
        </w:rPr>
        <w:t>年，协会治理体系和治理能力现代化水平显著提升，建成政府信任、行业依赖、会员满意、社会认可的高水平行业协会。</w:t>
      </w:r>
    </w:p>
    <w:p w14:paraId="10651AA1">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——服务政府更高效。</w:t>
      </w:r>
      <w:r>
        <w:rPr>
          <w:rFonts w:hint="eastAsia" w:ascii="Times New Roman" w:hAnsi="Times New Roman" w:eastAsia="仿宋_GB2312"/>
          <w:sz w:val="32"/>
          <w:szCs w:val="32"/>
        </w:rPr>
        <w:t>全面支撑特种设备安全监察，检验人员全国统考实现常态化、智能化，鉴定评审全流程数字化、廉政风险可控，监督抽查专业化、精准化，政策研究体系化、前瞻化。</w:t>
      </w:r>
    </w:p>
    <w:p w14:paraId="11BB3E07">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——服务行业更有力。</w:t>
      </w:r>
      <w:r>
        <w:rPr>
          <w:rFonts w:hint="eastAsia" w:ascii="Times New Roman" w:hAnsi="Times New Roman" w:eastAsia="仿宋_GB2312"/>
          <w:sz w:val="32"/>
          <w:szCs w:val="32"/>
        </w:rPr>
        <w:t>建成特检行业人才培养高地，年培训能力突破</w:t>
      </w:r>
      <w:r>
        <w:rPr>
          <w:rFonts w:ascii="Times New Roman" w:hAnsi="Times New Roman" w:eastAsia="仿宋_GB2312"/>
          <w:sz w:val="32"/>
          <w:szCs w:val="32"/>
        </w:rPr>
        <w:t>1.5</w:t>
      </w:r>
      <w:r>
        <w:rPr>
          <w:rFonts w:hint="eastAsia" w:ascii="Times New Roman" w:hAnsi="Times New Roman" w:eastAsia="仿宋_GB2312"/>
          <w:sz w:val="32"/>
          <w:szCs w:val="32"/>
        </w:rPr>
        <w:t>万人次；科技协同创新机制健全完善，高端检测仪器国产化率大幅提升；团体标准体系完备，部分标准跃升为国家或行业标准；行业自律体系更加健全完善。</w:t>
      </w:r>
    </w:p>
    <w:p w14:paraId="57474B1D">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——服务会员更精准。</w:t>
      </w:r>
      <w:r>
        <w:rPr>
          <w:rFonts w:hint="eastAsia" w:ascii="Times New Roman" w:hAnsi="Times New Roman" w:eastAsia="仿宋_GB2312"/>
          <w:sz w:val="32"/>
          <w:szCs w:val="32"/>
        </w:rPr>
        <w:t>会员总数突破</w:t>
      </w:r>
      <w:r>
        <w:rPr>
          <w:rFonts w:ascii="Times New Roman" w:hAnsi="Times New Roman" w:eastAsia="仿宋_GB2312"/>
          <w:sz w:val="32"/>
          <w:szCs w:val="32"/>
        </w:rPr>
        <w:t>1600</w:t>
      </w:r>
      <w:r>
        <w:rPr>
          <w:rFonts w:hint="eastAsia" w:ascii="Times New Roman" w:hAnsi="Times New Roman" w:eastAsia="仿宋_GB2312"/>
          <w:sz w:val="32"/>
          <w:szCs w:val="32"/>
        </w:rPr>
        <w:t>家，服务供给多元丰富，数字化服务平台功能完善，会员满意度稳定保持在</w:t>
      </w:r>
      <w:r>
        <w:rPr>
          <w:rFonts w:ascii="Times New Roman" w:hAnsi="Times New Roman" w:eastAsia="仿宋_GB2312"/>
          <w:sz w:val="32"/>
          <w:szCs w:val="32"/>
        </w:rPr>
        <w:t>90%</w:t>
      </w:r>
      <w:r>
        <w:rPr>
          <w:rFonts w:hint="eastAsia" w:ascii="Times New Roman" w:hAnsi="Times New Roman" w:eastAsia="仿宋_GB2312"/>
          <w:sz w:val="32"/>
          <w:szCs w:val="32"/>
        </w:rPr>
        <w:t>以上。</w:t>
      </w:r>
    </w:p>
    <w:p w14:paraId="651976B1">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——内部治理更规范。</w:t>
      </w:r>
      <w:r>
        <w:rPr>
          <w:rFonts w:hint="eastAsia" w:ascii="Times New Roman" w:hAnsi="Times New Roman" w:eastAsia="仿宋_GB2312"/>
          <w:sz w:val="32"/>
          <w:szCs w:val="32"/>
        </w:rPr>
        <w:t>理事会结构持续优化，秘书处队伍专业化、年轻化水平显著提升，信息化平台全面整合，党建与业务深度融合，达到</w:t>
      </w:r>
      <w:r>
        <w:rPr>
          <w:rFonts w:ascii="Times New Roman" w:hAnsi="Times New Roman" w:eastAsia="仿宋_GB2312"/>
          <w:sz w:val="32"/>
          <w:szCs w:val="32"/>
        </w:rPr>
        <w:t>5A</w:t>
      </w:r>
      <w:r>
        <w:rPr>
          <w:rFonts w:hint="eastAsia" w:ascii="Times New Roman" w:hAnsi="Times New Roman" w:eastAsia="仿宋_GB2312"/>
          <w:sz w:val="32"/>
          <w:szCs w:val="32"/>
        </w:rPr>
        <w:t>级社会组织管理标准。</w:t>
      </w:r>
    </w:p>
    <w:p w14:paraId="1CEB585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二、主要任务</w:t>
      </w:r>
    </w:p>
    <w:p w14:paraId="0BA9CF7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（一）强化支撑赋能，提升服务政府专业化水平</w:t>
      </w:r>
    </w:p>
    <w:p w14:paraId="0C89B0E0">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严格人员考试与执业管理。</w:t>
      </w:r>
      <w:r>
        <w:rPr>
          <w:rFonts w:hint="eastAsia" w:ascii="Times New Roman" w:hAnsi="Times New Roman" w:eastAsia="仿宋_GB2312"/>
          <w:sz w:val="32"/>
          <w:szCs w:val="32"/>
        </w:rPr>
        <w:t>全力配合特种设备检验机构核准规则、检验人员考核规则等安全技术规范的制修订与落地实施。全面推行检验人员全国统一考试，健全试卷难度考前评估机制，深化</w:t>
      </w:r>
      <w:r>
        <w:rPr>
          <w:rFonts w:ascii="Times New Roman" w:hAnsi="Times New Roman" w:eastAsia="仿宋_GB2312"/>
          <w:sz w:val="32"/>
          <w:szCs w:val="32"/>
        </w:rPr>
        <w:t>AI</w:t>
      </w:r>
      <w:r>
        <w:rPr>
          <w:rFonts w:hint="eastAsia" w:ascii="Times New Roman" w:hAnsi="Times New Roman" w:eastAsia="仿宋_GB2312"/>
          <w:sz w:val="32"/>
          <w:szCs w:val="32"/>
        </w:rPr>
        <w:t>监考、智能巡考、即时出分等技术应用，构建“题库抽题</w:t>
      </w:r>
      <w:r>
        <w:rPr>
          <w:rFonts w:ascii="Times New Roman" w:hAnsi="Times New Roman" w:eastAsia="仿宋_GB2312"/>
          <w:sz w:val="32"/>
          <w:szCs w:val="32"/>
        </w:rPr>
        <w:t>+</w:t>
      </w:r>
      <w:r>
        <w:rPr>
          <w:rFonts w:hint="eastAsia" w:ascii="Times New Roman" w:hAnsi="Times New Roman" w:eastAsia="仿宋_GB2312"/>
          <w:sz w:val="32"/>
          <w:szCs w:val="32"/>
        </w:rPr>
        <w:t>集中命题”相结合的命题模式，保障考试公平公正。升级执业公示系统，运用大数据、人工智能动态监测异常执业行为，积极协助监管部门整治人员“挂证”等行业顽疾。</w:t>
      </w:r>
    </w:p>
    <w:p w14:paraId="19533946">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提升评审与抽查服务效能。</w:t>
      </w:r>
      <w:r>
        <w:rPr>
          <w:rFonts w:hint="eastAsia" w:ascii="Times New Roman" w:hAnsi="Times New Roman" w:eastAsia="仿宋_GB2312"/>
          <w:sz w:val="32"/>
          <w:szCs w:val="32"/>
        </w:rPr>
        <w:t>全面推广应用鉴定评审业务系统，实现评审项目资料在线审核、报告在线审批、专家动态管理、过程可追溯，建立评审质量抽查与绩效评价机制。积极承接各级监管部门证后监督抽查、检验质量抽查，拓展第三方审查服务。制定分设备、分机构类型的标准化检查作业指导书，探索“人工智能</w:t>
      </w:r>
      <w:r>
        <w:rPr>
          <w:rFonts w:ascii="Times New Roman" w:hAnsi="Times New Roman" w:eastAsia="仿宋_GB2312"/>
          <w:sz w:val="32"/>
          <w:szCs w:val="32"/>
        </w:rPr>
        <w:t>+</w:t>
      </w:r>
      <w:r>
        <w:rPr>
          <w:rFonts w:hint="eastAsia" w:ascii="Times New Roman" w:hAnsi="Times New Roman" w:eastAsia="仿宋_GB2312"/>
          <w:sz w:val="32"/>
          <w:szCs w:val="32"/>
        </w:rPr>
        <w:t>审核”模式，实现资料云端流转、智能分析与闭环处置，以数字化赋能评审抽查提质增效。</w:t>
      </w:r>
    </w:p>
    <w:p w14:paraId="28C8F93D">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深化行业政策理论研究。</w:t>
      </w:r>
      <w:r>
        <w:rPr>
          <w:rFonts w:hint="eastAsia" w:ascii="Times New Roman" w:hAnsi="Times New Roman" w:eastAsia="仿宋_GB2312"/>
          <w:sz w:val="32"/>
          <w:szCs w:val="32"/>
        </w:rPr>
        <w:t>围绕特种设备许可改革、风险监测、信用监管、智慧监管、应急管理、数智化转型、超期服役设备风险管理，以及检验检测机构合规管理、国际化发展、检验供给模式创新等重点难点问题，系统开展软课题研究。深度参与行业法规制修订研究，支撑总局特种设备安全形势分析，编制年度行业风险分析报告，为科学决策提供智力支持。</w:t>
      </w:r>
    </w:p>
    <w:p w14:paraId="410E659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（二）聚力转型升级，增强服务行业引领能力</w:t>
      </w:r>
    </w:p>
    <w:p w14:paraId="605C0FD2">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打造行业人才培养高地。</w:t>
      </w:r>
      <w:r>
        <w:rPr>
          <w:rFonts w:hint="eastAsia" w:ascii="Times New Roman" w:hAnsi="Times New Roman" w:eastAsia="仿宋_GB2312"/>
          <w:sz w:val="32"/>
          <w:szCs w:val="32"/>
        </w:rPr>
        <w:t>正式运营“特检学院”定制化培训平台，实现八大类设备检验、无损检测等专业课程全覆盖，年上线精品课程不少于</w:t>
      </w:r>
      <w:r>
        <w:rPr>
          <w:rFonts w:ascii="Times New Roman" w:hAnsi="Times New Roman" w:eastAsia="仿宋_GB2312"/>
          <w:sz w:val="32"/>
          <w:szCs w:val="32"/>
        </w:rPr>
        <w:t>120</w:t>
      </w:r>
      <w:r>
        <w:rPr>
          <w:rFonts w:hint="eastAsia" w:ascii="Times New Roman" w:hAnsi="Times New Roman" w:eastAsia="仿宋_GB2312"/>
          <w:sz w:val="32"/>
          <w:szCs w:val="32"/>
        </w:rPr>
        <w:t>学时，公益课程占比不低于</w:t>
      </w:r>
      <w:r>
        <w:rPr>
          <w:rFonts w:ascii="Times New Roman" w:hAnsi="Times New Roman" w:eastAsia="仿宋_GB2312"/>
          <w:sz w:val="32"/>
          <w:szCs w:val="32"/>
        </w:rPr>
        <w:t>30%</w:t>
      </w:r>
      <w:r>
        <w:rPr>
          <w:rFonts w:hint="eastAsia" w:ascii="Times New Roman" w:hAnsi="Times New Roman" w:eastAsia="仿宋_GB2312"/>
          <w:sz w:val="32"/>
          <w:szCs w:val="32"/>
        </w:rPr>
        <w:t>。建立课程质量评价与动态更新机制，推行“线上理论</w:t>
      </w:r>
      <w:r>
        <w:rPr>
          <w:rFonts w:ascii="Times New Roman" w:hAnsi="Times New Roman" w:eastAsia="仿宋_GB2312"/>
          <w:sz w:val="32"/>
          <w:szCs w:val="32"/>
        </w:rPr>
        <w:t>+</w:t>
      </w:r>
      <w:r>
        <w:rPr>
          <w:rFonts w:hint="eastAsia" w:ascii="Times New Roman" w:hAnsi="Times New Roman" w:eastAsia="仿宋_GB2312"/>
          <w:sz w:val="32"/>
          <w:szCs w:val="32"/>
        </w:rPr>
        <w:t>线下实操”混合式培训模式。聚焦老旧设备安全评估、无损检测新技术等重点领域开展专项培训。加快行业专业化培训教材编制出版，每年新增出版教材不少于</w:t>
      </w:r>
      <w:r>
        <w:rPr>
          <w:rFonts w:ascii="Times New Roman" w:hAnsi="Times New Roman" w:eastAsia="仿宋_GB2312"/>
          <w:sz w:val="32"/>
          <w:szCs w:val="32"/>
        </w:rPr>
        <w:t>3</w:t>
      </w:r>
      <w:r>
        <w:rPr>
          <w:rFonts w:hint="eastAsia" w:ascii="Times New Roman" w:hAnsi="Times New Roman" w:eastAsia="仿宋_GB2312"/>
          <w:sz w:val="32"/>
          <w:szCs w:val="32"/>
        </w:rPr>
        <w:t>部。常态化开展能力验证与技术比武，年参与队伍不少于</w:t>
      </w:r>
      <w:r>
        <w:rPr>
          <w:rFonts w:ascii="Times New Roman" w:hAnsi="Times New Roman" w:eastAsia="仿宋_GB2312"/>
          <w:sz w:val="32"/>
          <w:szCs w:val="32"/>
        </w:rPr>
        <w:t>700</w:t>
      </w:r>
      <w:r>
        <w:rPr>
          <w:rFonts w:hint="eastAsia" w:ascii="Times New Roman" w:hAnsi="Times New Roman" w:eastAsia="仿宋_GB2312"/>
          <w:sz w:val="32"/>
          <w:szCs w:val="32"/>
        </w:rPr>
        <w:t>支。推动建立跨区域人才联合培养机制，促进东中西部、东北地区机构结对帮扶、协同提升。</w:t>
      </w:r>
    </w:p>
    <w:p w14:paraId="46D7CD72">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推动科技创新攻坚突破。</w:t>
      </w:r>
      <w:r>
        <w:rPr>
          <w:rFonts w:hint="eastAsia" w:ascii="Times New Roman" w:hAnsi="Times New Roman" w:eastAsia="仿宋_GB2312"/>
          <w:sz w:val="32"/>
          <w:szCs w:val="32"/>
        </w:rPr>
        <w:t>全面落实特种设备安全与节能科技创新部署，依托科技协作工委会与特种设备科技协作平台，组织会员单位申报国家重点研发计划、市场监管总局科技项目。聚焦氢能、新型储能、复杂工况承压设备、智能检测等领域，开展关键核心技术攻关，着力破解智能传感、先进检测仪器、特种检测机器人等“卡脖子”难题，提升行业检验检测质量与数智化水平。探索建立特种设备检验案例库、故障与失效案例库，推动构建行业垂直领域大模型与智能体共建共享机制。组织第八届、第九届协会科学技术奖评选，推动科研成果高效转化，持续加大国产高端检测设备研发与推广应用力度。</w:t>
      </w:r>
    </w:p>
    <w:p w14:paraId="5FF1664E">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完善标准体系有效供给。</w:t>
      </w:r>
      <w:r>
        <w:rPr>
          <w:rFonts w:hint="eastAsia" w:ascii="Times New Roman" w:hAnsi="Times New Roman" w:eastAsia="仿宋_GB2312"/>
          <w:sz w:val="32"/>
          <w:szCs w:val="32"/>
        </w:rPr>
        <w:t>坚持需求导向，重点研制涉氢特种设备、常压容器、安全附件、信息化与智能化、无损检测新技术等领域团体标准，年均颁布团体标准不少于</w:t>
      </w:r>
      <w:r>
        <w:rPr>
          <w:rFonts w:ascii="Times New Roman" w:hAnsi="Times New Roman" w:eastAsia="仿宋_GB2312"/>
          <w:sz w:val="32"/>
          <w:szCs w:val="32"/>
        </w:rPr>
        <w:t>25</w:t>
      </w:r>
      <w:r>
        <w:rPr>
          <w:rFonts w:hint="eastAsia" w:ascii="Times New Roman" w:hAnsi="Times New Roman" w:eastAsia="仿宋_GB2312"/>
          <w:sz w:val="32"/>
          <w:szCs w:val="32"/>
        </w:rPr>
        <w:t>项，推动成熟团体标准转化为行业标准、国家标准。建立团体标准信息化管理平台，实现团体标准提案、征求意见、送审、发布、复审等全生命周期数字化管理，健全团体标准实施后评估机制，打造“</w:t>
      </w:r>
      <w:r>
        <w:rPr>
          <w:rFonts w:ascii="Times New Roman" w:hAnsi="Times New Roman" w:eastAsia="仿宋_GB2312"/>
          <w:sz w:val="32"/>
          <w:szCs w:val="32"/>
        </w:rPr>
        <w:t>CASEI</w:t>
      </w:r>
      <w:r>
        <w:rPr>
          <w:rFonts w:hint="eastAsia" w:ascii="Times New Roman" w:hAnsi="Times New Roman" w:eastAsia="仿宋_GB2312"/>
          <w:sz w:val="32"/>
          <w:szCs w:val="32"/>
        </w:rPr>
        <w:t>”特色标准品牌。制定特种设备检验机构能力评价、人员能力评价等水平评价类标准，以标准引领行业规范发展。</w:t>
      </w:r>
    </w:p>
    <w:p w14:paraId="4AEE9AA6">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4.</w:t>
      </w:r>
      <w:r>
        <w:rPr>
          <w:rFonts w:hint="eastAsia" w:ascii="Times New Roman" w:hAnsi="Times New Roman" w:eastAsia="仿宋_GB2312"/>
          <w:b/>
          <w:bCs/>
          <w:sz w:val="32"/>
          <w:szCs w:val="32"/>
        </w:rPr>
        <w:t>强化行业自律诚信建设。</w:t>
      </w:r>
      <w:r>
        <w:rPr>
          <w:rFonts w:hint="eastAsia" w:ascii="Times New Roman" w:hAnsi="Times New Roman" w:eastAsia="仿宋_GB2312"/>
          <w:sz w:val="32"/>
          <w:szCs w:val="32"/>
        </w:rPr>
        <w:t>配合总局开展检验检测机构规范化专业化建设行动，严厉打击虚假报告、虚假执业、低价恶性竞争等违法违规行为。完善无损检测机构级别评定，推进电梯检测机构、安全阀校验机构、常压容器检验机构能力与信用评价，建立健全评价结果与市场采纳、政府监管联动机制。推动行业自律公约全域覆盖，健全自律惩戒机制，营造公平竞争、规范有序的市场环境。</w:t>
      </w:r>
    </w:p>
    <w:p w14:paraId="3EAFA3C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（三）优化服务供给，提高服务会员精准化水平</w:t>
      </w:r>
    </w:p>
    <w:p w14:paraId="7329E798">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健全会员服务体系。</w:t>
      </w:r>
      <w:r>
        <w:rPr>
          <w:rFonts w:hint="eastAsia" w:ascii="Times New Roman" w:hAnsi="Times New Roman" w:eastAsia="仿宋_GB2312"/>
          <w:sz w:val="32"/>
          <w:szCs w:val="32"/>
        </w:rPr>
        <w:t>高质量完成第七届会员代表大会换届工作，优化理事会结构，增强代表性与专业性。修订会员权益清单，明确政策咨询、法律援助、人才招聘等</w:t>
      </w:r>
      <w:r>
        <w:rPr>
          <w:rFonts w:ascii="Times New Roman" w:hAnsi="Times New Roman" w:eastAsia="仿宋_GB2312"/>
          <w:sz w:val="32"/>
          <w:szCs w:val="32"/>
        </w:rPr>
        <w:t>12</w:t>
      </w:r>
      <w:r>
        <w:rPr>
          <w:rFonts w:hint="eastAsia" w:ascii="Times New Roman" w:hAnsi="Times New Roman" w:eastAsia="仿宋_GB2312"/>
          <w:sz w:val="32"/>
          <w:szCs w:val="32"/>
        </w:rPr>
        <w:t>项基础服务。壮大会员队伍至</w:t>
      </w:r>
      <w:r>
        <w:rPr>
          <w:rFonts w:ascii="Times New Roman" w:hAnsi="Times New Roman" w:eastAsia="仿宋_GB2312"/>
          <w:sz w:val="32"/>
          <w:szCs w:val="32"/>
        </w:rPr>
        <w:t>1600</w:t>
      </w:r>
      <w:r>
        <w:rPr>
          <w:rFonts w:hint="eastAsia" w:ascii="Times New Roman" w:hAnsi="Times New Roman" w:eastAsia="仿宋_GB2312"/>
          <w:sz w:val="32"/>
          <w:szCs w:val="32"/>
        </w:rPr>
        <w:t>家以上，重点吸纳特种设备检验检测技术研究、装备研发、技术应用等领域单位入会，促进全产业链协同发展。</w:t>
      </w:r>
    </w:p>
    <w:p w14:paraId="29A6B32C">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拓展增值服务产品。</w:t>
      </w:r>
      <w:r>
        <w:rPr>
          <w:rFonts w:hint="eastAsia" w:ascii="Times New Roman" w:hAnsi="Times New Roman" w:eastAsia="仿宋_GB2312"/>
          <w:sz w:val="32"/>
          <w:szCs w:val="32"/>
        </w:rPr>
        <w:t>针对中小机构开展“一对一”精准帮扶，提供质量管理体系咨询、报告考评等定制化服务。提升中特谐（北京）科技发展有限公司服务能力，拓展国外先进检测仪器引进、国产装备性能测试评价、行业科技成果转化等业务，实现营业收入稳步增长。</w:t>
      </w:r>
    </w:p>
    <w:p w14:paraId="7B3469AF">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搭建交流合作平台。</w:t>
      </w:r>
      <w:r>
        <w:rPr>
          <w:rFonts w:hint="eastAsia" w:ascii="Times New Roman" w:hAnsi="Times New Roman" w:eastAsia="仿宋_GB2312"/>
          <w:sz w:val="32"/>
          <w:szCs w:val="32"/>
        </w:rPr>
        <w:t>常态化组织检验检测技术、安全管理等经验交流会、案例分享会、专题研讨会，搭建政府、企业、机构多方交流合作桥梁。定期举办特种设备检验检测机构高质量发展交流会以及特检机构负责人高级研修班、中青年科研骨干、质量管理内审员、综合办公室人员能力提升等专题培训班，促进行业人才共育、资源共享、协同发展。</w:t>
      </w:r>
    </w:p>
    <w:p w14:paraId="24C7627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（四）践行社会责任，扩大服务社会化影响力</w:t>
      </w:r>
    </w:p>
    <w:p w14:paraId="1018A3A2">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提升公益服务能力。</w:t>
      </w:r>
      <w:r>
        <w:rPr>
          <w:rFonts w:hint="eastAsia" w:ascii="Times New Roman" w:hAnsi="Times New Roman" w:eastAsia="仿宋_GB2312"/>
          <w:sz w:val="32"/>
          <w:szCs w:val="32"/>
        </w:rPr>
        <w:t>持续开展特种设备安全公益宣传，重点围绕安全阀、电梯、燃气管道、辐射安全等民生领域普及安全知识。建立特种设备法律援助常态化机制，为会员提供法律咨询与纠纷调解服务。开展扶贫助困、技术援疆援藏、应急抢险等公益活动，每年组织</w:t>
      </w:r>
      <w:r>
        <w:rPr>
          <w:rFonts w:ascii="Times New Roman" w:hAnsi="Times New Roman" w:eastAsia="仿宋_GB2312"/>
          <w:sz w:val="32"/>
          <w:szCs w:val="32"/>
        </w:rPr>
        <w:t>2</w:t>
      </w:r>
      <w:r>
        <w:rPr>
          <w:rFonts w:hint="eastAsia" w:ascii="Times New Roman" w:hAnsi="Times New Roman" w:eastAsia="仿宋_GB2312"/>
          <w:sz w:val="32"/>
          <w:szCs w:val="32"/>
        </w:rPr>
        <w:t>次以上大型公益培训或技术帮扶。</w:t>
      </w:r>
    </w:p>
    <w:p w14:paraId="1C4A26C4">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助力社会治理创新。</w:t>
      </w:r>
      <w:r>
        <w:rPr>
          <w:rFonts w:hint="eastAsia" w:ascii="Times New Roman" w:hAnsi="Times New Roman" w:eastAsia="仿宋_GB2312"/>
          <w:sz w:val="32"/>
          <w:szCs w:val="32"/>
        </w:rPr>
        <w:t>配合总局开展“安全生产月”“质量月”“特种设备安全日”等主题活动，组织辐射事故应急演练等活动，提升公共安全应急处置能力。推动特种设备安全责任保险研究，促进保险机制与检验检测深度融合。推动提升老旧电梯、大型游乐设施等民生设备安全保障水平，切实保障人民群众生命财产安全。</w:t>
      </w:r>
    </w:p>
    <w:p w14:paraId="63BDE76C">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推动行业国际化发展。</w:t>
      </w:r>
      <w:r>
        <w:rPr>
          <w:rFonts w:hint="eastAsia" w:ascii="Times New Roman" w:hAnsi="Times New Roman" w:eastAsia="仿宋_GB2312"/>
          <w:sz w:val="32"/>
          <w:szCs w:val="32"/>
        </w:rPr>
        <w:t>建立健全特种设备生产企业、检验检测机构国际化发展服务机制，提供政策对接、信息咨询、供需对接等全流程服务。加强国内外标准比对研究，精准分析标准和技术差异，为企业国际化提供标准对接指导。组织特检仪器装备企业组团参加国际展会，打造中国品牌。深化“一带一路”沿线国家技术交流，推动标准、检验、认证互认。加强与港澳台地区及国际同业组织合作，建立常态化交流机制，提升行业国际话语权。</w:t>
      </w:r>
    </w:p>
    <w:p w14:paraId="0763F93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（五）完善治理结构，夯实内部现代化建设基础</w:t>
      </w:r>
    </w:p>
    <w:p w14:paraId="215DA5A7">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加强党的全面领导。</w:t>
      </w:r>
      <w:r>
        <w:rPr>
          <w:rFonts w:hint="eastAsia" w:ascii="Times New Roman" w:hAnsi="Times New Roman" w:eastAsia="仿宋_GB2312"/>
          <w:sz w:val="32"/>
          <w:szCs w:val="32"/>
        </w:rPr>
        <w:t>严格落实全面从严治党要求，开展行业协会商会党建质量提升行动，推进党支部标准化规范化建设，落地实施《中国特检协会党支部党建标准化手册》，建立党建业务深度融合长效机制。严格执行“三重一大”党组织前置研究制度，强化党风廉政建设，设立党员示范岗，加强行风教育，确保协会政治安全、廉洁运行。</w:t>
      </w:r>
    </w:p>
    <w:p w14:paraId="20A8C140">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优化法人治理结构。</w:t>
      </w:r>
      <w:r>
        <w:rPr>
          <w:rFonts w:hint="eastAsia" w:ascii="Times New Roman" w:hAnsi="Times New Roman" w:eastAsia="仿宋_GB2312"/>
          <w:sz w:val="32"/>
          <w:szCs w:val="32"/>
        </w:rPr>
        <w:t>按期完成理事会换届，健全监事会监督机制，完善理事会议事规则、分支机构管理办法。深化党建“六化”带动运行“十化”试点成果应用，实现“制度流程化、流程表单化、表单信息化”，提升治理效能。</w:t>
      </w:r>
    </w:p>
    <w:p w14:paraId="050A75F7">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强化人才队伍建设。</w:t>
      </w:r>
      <w:r>
        <w:rPr>
          <w:rFonts w:hint="eastAsia" w:ascii="Times New Roman" w:hAnsi="Times New Roman" w:eastAsia="仿宋_GB2312"/>
          <w:sz w:val="32"/>
          <w:szCs w:val="32"/>
        </w:rPr>
        <w:t>实施“人才强会”战略，引进专业化技术与管理人才，优化秘书处队伍年龄、学历结构。完善专家库动态管理机制，培育中青年技术专家达</w:t>
      </w:r>
      <w:r>
        <w:rPr>
          <w:rFonts w:ascii="Times New Roman" w:hAnsi="Times New Roman" w:eastAsia="仿宋_GB2312"/>
          <w:sz w:val="32"/>
          <w:szCs w:val="32"/>
        </w:rPr>
        <w:t>600</w:t>
      </w:r>
      <w:r>
        <w:rPr>
          <w:rFonts w:hint="eastAsia" w:ascii="Times New Roman" w:hAnsi="Times New Roman" w:eastAsia="仿宋_GB2312"/>
          <w:sz w:val="32"/>
          <w:szCs w:val="32"/>
        </w:rPr>
        <w:t>名。建立员工绩效考核与职业晋升通道，全面提升专业化服务能力。</w:t>
      </w:r>
    </w:p>
    <w:p w14:paraId="7D5C43AB">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4.</w:t>
      </w:r>
      <w:r>
        <w:rPr>
          <w:rFonts w:hint="eastAsia" w:ascii="Times New Roman" w:hAnsi="Times New Roman" w:eastAsia="仿宋_GB2312"/>
          <w:b/>
          <w:bCs/>
          <w:sz w:val="32"/>
          <w:szCs w:val="32"/>
        </w:rPr>
        <w:t>推进数字化治理。</w:t>
      </w:r>
      <w:r>
        <w:rPr>
          <w:rFonts w:hint="eastAsia" w:ascii="Times New Roman" w:hAnsi="Times New Roman" w:eastAsia="仿宋_GB2312"/>
          <w:sz w:val="32"/>
          <w:szCs w:val="32"/>
        </w:rPr>
        <w:t>实施信息化升级工程，整合考试、执业公示、评审、会员管理等系统，建设“党建</w:t>
      </w:r>
      <w:r>
        <w:rPr>
          <w:rFonts w:ascii="Times New Roman" w:hAnsi="Times New Roman" w:eastAsia="仿宋_GB2312"/>
          <w:sz w:val="32"/>
          <w:szCs w:val="32"/>
        </w:rPr>
        <w:t>+</w:t>
      </w:r>
      <w:r>
        <w:rPr>
          <w:rFonts w:hint="eastAsia" w:ascii="Times New Roman" w:hAnsi="Times New Roman" w:eastAsia="仿宋_GB2312"/>
          <w:sz w:val="32"/>
          <w:szCs w:val="32"/>
        </w:rPr>
        <w:t>业务”一体化协同办公平台，全面实现无纸化办公和数据互联互通。强化网络安全防护，保障信息系统网络安全与数据安全。</w:t>
      </w:r>
    </w:p>
    <w:p w14:paraId="579CE72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三、保障措施</w:t>
      </w:r>
    </w:p>
    <w:p w14:paraId="395C18D6">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（一）加强组织领导。</w:t>
      </w:r>
      <w:r>
        <w:rPr>
          <w:rFonts w:hint="eastAsia" w:ascii="Times New Roman" w:hAnsi="Times New Roman" w:eastAsia="仿宋_GB2312"/>
          <w:sz w:val="32"/>
          <w:szCs w:val="32"/>
        </w:rPr>
        <w:t>成立“十五五”规划实施领导小组，由理事长任组长、秘书长任副组长，统筹推进规划落地实施。各部门制定年度分解计划，明确时间表、路线图、责任人，确保各项任务逐项落实、取得实效。</w:t>
      </w:r>
    </w:p>
    <w:p w14:paraId="1D318B88">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（二）强化资源保障。</w:t>
      </w:r>
      <w:r>
        <w:rPr>
          <w:rFonts w:hint="eastAsia" w:ascii="Times New Roman" w:hAnsi="Times New Roman" w:eastAsia="仿宋_GB2312"/>
          <w:sz w:val="32"/>
          <w:szCs w:val="32"/>
        </w:rPr>
        <w:t>积极争取政府购买服务，拓展市场化收入渠道，保障规划实施资金需求。优化资源配置，重点向人员考试、团标建设、科技创新、人才培养、信息化建设、公益服务等关键领域倾斜，提升资源使用效益。</w:t>
      </w:r>
    </w:p>
    <w:p w14:paraId="10C2A651">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（三）完善评估机制。</w:t>
      </w:r>
      <w:r>
        <w:rPr>
          <w:rFonts w:hint="eastAsia" w:ascii="Times New Roman" w:hAnsi="Times New Roman" w:eastAsia="仿宋_GB2312"/>
          <w:sz w:val="32"/>
          <w:szCs w:val="32"/>
        </w:rPr>
        <w:t>建立规划实施中期评估与终期考核制度，定期开展绩效评价。引入第三方评估机构，根据行业发展新形势、新要求动态优化调整规划内容，确保规划科学性、前瞻性与可操作性。</w:t>
      </w:r>
    </w:p>
    <w:p w14:paraId="167336F6">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仿宋_GB2312"/>
          <w:sz w:val="32"/>
          <w:szCs w:val="32"/>
        </w:rPr>
      </w:pPr>
      <w:r>
        <w:rPr>
          <w:rFonts w:hint="eastAsia" w:ascii="Times New Roman" w:hAnsi="Times New Roman" w:eastAsia="仿宋_GB2312"/>
          <w:b/>
          <w:bCs/>
          <w:sz w:val="32"/>
          <w:szCs w:val="32"/>
        </w:rPr>
        <w:t>（四）营造良好氛围。</w:t>
      </w:r>
      <w:r>
        <w:rPr>
          <w:rFonts w:hint="eastAsia" w:ascii="Times New Roman" w:hAnsi="Times New Roman" w:eastAsia="仿宋_GB2312"/>
          <w:sz w:val="32"/>
          <w:szCs w:val="32"/>
        </w:rPr>
        <w:t>加强规划宣传解读，凝聚行业发展共识。及时总结推广典型经验，讲好“中国特检”故事，提升行业品牌影响力，为规划实施营造浓厚氛围、创造良好环境。</w:t>
      </w:r>
    </w:p>
    <w:p w14:paraId="5D10446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十五五”时期是特种设备检验检测行业高质量发展的关键阶段。协会将以习近平新时代中国特色社会主义思想为指导，坚定信心、锐意进取，守正创新、勇毅前行，奋力谱写特检事业高质量发展新篇章，为推进特种设备安全治理体系和治理能力现代化、建设质量强国作出新的更大贡献！</w:t>
      </w:r>
    </w:p>
    <w:p w14:paraId="18400F18"/>
    <w:sectPr>
      <w:footerReference r:id="rId3" w:type="default"/>
      <w:pgSz w:w="11906" w:h="16838"/>
      <w:pgMar w:top="1417" w:right="1417" w:bottom="1417" w:left="141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A03BD9-B0BA-4ECF-833C-6503D7FC1B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59E1CA-26F4-4509-BDE7-57AD672DF371}"/>
  </w:font>
  <w:font w:name="方正小标宋简体">
    <w:panose1 w:val="02010600010101010101"/>
    <w:charset w:val="86"/>
    <w:family w:val="script"/>
    <w:pitch w:val="default"/>
    <w:sig w:usb0="00000001" w:usb1="080E0000" w:usb2="00000000" w:usb3="00000000" w:csb0="00040000" w:csb1="00000000"/>
    <w:embedRegular r:id="rId3" w:fontKey="{08395E2D-73CC-4032-B8A1-E35FEACE6D1F}"/>
  </w:font>
  <w:font w:name="方正仿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4" w:fontKey="{1542BA10-5956-4587-86EA-63E751C96C3B}"/>
  </w:font>
  <w:font w:name="楷体">
    <w:panose1 w:val="02010609060101010101"/>
    <w:charset w:val="86"/>
    <w:family w:val="auto"/>
    <w:pitch w:val="default"/>
    <w:sig w:usb0="800002BF" w:usb1="38CF7CFA" w:usb2="00000016" w:usb3="00000000" w:csb0="00040001" w:csb1="00000000"/>
    <w:embedRegular r:id="rId5" w:fontKey="{7E344923-008E-41B9-A367-869BF57D72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36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31779F">
                          <w:pPr>
                            <w:pStyle w:val="2"/>
                            <w:rPr>
                              <w:sz w:val="21"/>
                              <w:szCs w:val="28"/>
                            </w:rPr>
                          </w:pPr>
                          <w:r>
                            <w:rPr>
                              <w:sz w:val="21"/>
                              <w:szCs w:val="28"/>
                            </w:rPr>
                            <w:t xml:space="preserve">— </w:t>
                          </w:r>
                          <w:r>
                            <w:rPr>
                              <w:sz w:val="21"/>
                              <w:szCs w:val="28"/>
                            </w:rPr>
                            <w:fldChar w:fldCharType="begin"/>
                          </w:r>
                          <w:r>
                            <w:rPr>
                              <w:sz w:val="21"/>
                              <w:szCs w:val="28"/>
                            </w:rPr>
                            <w:instrText xml:space="preserve"> PAGE  \* MERGEFORMAT </w:instrText>
                          </w:r>
                          <w:r>
                            <w:rPr>
                              <w:sz w:val="21"/>
                              <w:szCs w:val="28"/>
                            </w:rPr>
                            <w:fldChar w:fldCharType="separate"/>
                          </w:r>
                          <w:r>
                            <w:rPr>
                              <w:sz w:val="21"/>
                              <w:szCs w:val="28"/>
                            </w:rPr>
                            <w:t>- 1 -</w:t>
                          </w:r>
                          <w:r>
                            <w:rPr>
                              <w:sz w:val="21"/>
                              <w:szCs w:val="28"/>
                            </w:rPr>
                            <w:fldChar w:fldCharType="end"/>
                          </w:r>
                          <w:r>
                            <w:rPr>
                              <w:sz w:val="21"/>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C31779F">
                    <w:pPr>
                      <w:pStyle w:val="2"/>
                      <w:rPr>
                        <w:sz w:val="21"/>
                        <w:szCs w:val="28"/>
                      </w:rPr>
                    </w:pPr>
                    <w:r>
                      <w:rPr>
                        <w:sz w:val="21"/>
                        <w:szCs w:val="28"/>
                      </w:rPr>
                      <w:t xml:space="preserve">— </w:t>
                    </w:r>
                    <w:r>
                      <w:rPr>
                        <w:sz w:val="21"/>
                        <w:szCs w:val="28"/>
                      </w:rPr>
                      <w:fldChar w:fldCharType="begin"/>
                    </w:r>
                    <w:r>
                      <w:rPr>
                        <w:sz w:val="21"/>
                        <w:szCs w:val="28"/>
                      </w:rPr>
                      <w:instrText xml:space="preserve"> PAGE  \* MERGEFORMAT </w:instrText>
                    </w:r>
                    <w:r>
                      <w:rPr>
                        <w:sz w:val="21"/>
                        <w:szCs w:val="28"/>
                      </w:rPr>
                      <w:fldChar w:fldCharType="separate"/>
                    </w:r>
                    <w:r>
                      <w:rPr>
                        <w:sz w:val="21"/>
                        <w:szCs w:val="28"/>
                      </w:rPr>
                      <w:t>- 1 -</w:t>
                    </w:r>
                    <w:r>
                      <w:rPr>
                        <w:sz w:val="21"/>
                        <w:szCs w:val="28"/>
                      </w:rPr>
                      <w:fldChar w:fldCharType="end"/>
                    </w:r>
                    <w:r>
                      <w:rPr>
                        <w:sz w:val="21"/>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E3980"/>
    <w:rsid w:val="622B611D"/>
    <w:rsid w:val="669453A6"/>
    <w:rsid w:val="79EE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2026-06-08T01:21:00Z</dcterms:created>
  <dc:creator>ji516126com</dc:creator>
  <cp:lastModifiedBy>ji516126com</cp:lastModifiedBy>
  <dcterms:modified xsi:type="dcterms:W3CDTF">2026-06-08T01:46:26Z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02295DA8A5F94330AD10B5F1B4EDD6AA_11</vt:lpwstr>
  </property>
  <property fmtid="{D5CDD505-2E9C-101B-9397-08002B2CF9AE}" pid="4" name="KSOTemplateDocerSaveRecord">
    <vt:lpwstr>eyJoZGlkIjoiYTI0MzUxM2I3MDI4M2JjMmNiYWMyZDczMzdmMDljMGEiLCJ1c2VySWQiOiIyNjE5OTE2In0=</vt:lpwstr>
  </property>
</Properties>
</file>