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85EB7" w14:textId="652B1675" w:rsidR="000E1C0C" w:rsidRPr="00A5473E" w:rsidRDefault="00000000" w:rsidP="00A5473E">
      <w:pPr>
        <w:spacing w:after="0" w:line="520" w:lineRule="exact"/>
        <w:rPr>
          <w:rFonts w:ascii="方正小标宋简体" w:eastAsia="方正小标宋简体" w:hAnsi="黑体" w:hint="eastAsia"/>
          <w:sz w:val="44"/>
          <w:szCs w:val="44"/>
          <w:lang w:eastAsia="zh-CN"/>
        </w:rPr>
      </w:pPr>
      <w:r w:rsidRPr="00A5473E">
        <w:rPr>
          <w:rFonts w:ascii="方正小标宋简体" w:eastAsia="方正小标宋简体" w:hAnsi="黑体" w:hint="eastAsia"/>
          <w:sz w:val="44"/>
          <w:szCs w:val="44"/>
          <w:lang w:eastAsia="zh-CN"/>
        </w:rPr>
        <w:t>附件</w:t>
      </w:r>
      <w:r w:rsidR="00A5473E">
        <w:rPr>
          <w:rFonts w:ascii="方正小标宋简体" w:eastAsia="方正小标宋简体" w:hAnsi="黑体" w:hint="eastAsia"/>
          <w:sz w:val="44"/>
          <w:szCs w:val="44"/>
          <w:lang w:eastAsia="zh-CN"/>
        </w:rPr>
        <w:t>2</w:t>
      </w:r>
    </w:p>
    <w:p w14:paraId="1DD683D9" w14:textId="218191D8" w:rsidR="000E1C0C" w:rsidRPr="00A5473E" w:rsidRDefault="00000000" w:rsidP="00A5473E">
      <w:pPr>
        <w:widowControl w:val="0"/>
        <w:spacing w:after="0" w:line="520" w:lineRule="exact"/>
        <w:jc w:val="center"/>
        <w:rPr>
          <w:rFonts w:ascii="方正小标宋简体" w:eastAsia="方正小标宋简体" w:hAnsi="黑体" w:cs="Times New Roman" w:hint="eastAsia"/>
          <w:b/>
          <w:bCs/>
          <w:kern w:val="2"/>
          <w:sz w:val="44"/>
          <w:szCs w:val="44"/>
          <w:lang w:eastAsia="zh-CN"/>
        </w:rPr>
      </w:pPr>
      <w:r w:rsidRPr="00A5473E">
        <w:rPr>
          <w:rFonts w:ascii="方正小标宋简体" w:eastAsia="方正小标宋简体" w:hAnsi="黑体" w:cs="Times New Roman" w:hint="eastAsia"/>
          <w:b/>
          <w:bCs/>
          <w:kern w:val="2"/>
          <w:sz w:val="44"/>
          <w:szCs w:val="44"/>
          <w:lang w:eastAsia="zh-CN"/>
        </w:rPr>
        <w:t>压力容器定期检验技术培训日程安排</w:t>
      </w:r>
    </w:p>
    <w:tbl>
      <w:tblPr>
        <w:tblStyle w:val="1a"/>
        <w:tblW w:w="9356" w:type="dxa"/>
        <w:jc w:val="center"/>
        <w:tblLook w:val="04A0" w:firstRow="1" w:lastRow="0" w:firstColumn="1" w:lastColumn="0" w:noHBand="0" w:noVBand="1"/>
      </w:tblPr>
      <w:tblGrid>
        <w:gridCol w:w="1560"/>
        <w:gridCol w:w="1701"/>
        <w:gridCol w:w="6095"/>
      </w:tblGrid>
      <w:tr w:rsidR="000E1C0C" w:rsidRPr="00A5473E" w14:paraId="3394858B" w14:textId="77777777" w:rsidTr="00A5473E">
        <w:trPr>
          <w:trHeight w:val="651"/>
          <w:jc w:val="center"/>
        </w:trPr>
        <w:tc>
          <w:tcPr>
            <w:tcW w:w="1560" w:type="dxa"/>
            <w:vAlign w:val="center"/>
          </w:tcPr>
          <w:p w14:paraId="3EB404ED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b/>
                <w:bCs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b/>
                <w:bCs/>
                <w:sz w:val="21"/>
                <w:szCs w:val="21"/>
                <w:lang w:eastAsia="zh-CN"/>
              </w:rPr>
              <w:t>日期</w:t>
            </w:r>
          </w:p>
        </w:tc>
        <w:tc>
          <w:tcPr>
            <w:tcW w:w="1701" w:type="dxa"/>
            <w:vAlign w:val="center"/>
          </w:tcPr>
          <w:p w14:paraId="1B2DC8DF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b/>
                <w:bCs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b/>
                <w:bCs/>
                <w:sz w:val="21"/>
                <w:szCs w:val="21"/>
                <w:lang w:eastAsia="zh-CN"/>
              </w:rPr>
              <w:t>时间</w:t>
            </w:r>
          </w:p>
        </w:tc>
        <w:tc>
          <w:tcPr>
            <w:tcW w:w="6095" w:type="dxa"/>
            <w:vAlign w:val="center"/>
          </w:tcPr>
          <w:p w14:paraId="467FE582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b/>
                <w:bCs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b/>
                <w:bCs/>
                <w:sz w:val="21"/>
                <w:szCs w:val="21"/>
                <w:lang w:eastAsia="zh-CN"/>
              </w:rPr>
              <w:t>授课内容</w:t>
            </w:r>
          </w:p>
        </w:tc>
      </w:tr>
      <w:tr w:rsidR="000E1C0C" w:rsidRPr="00A5473E" w14:paraId="32C0B5FF" w14:textId="77777777" w:rsidTr="00A5473E">
        <w:trPr>
          <w:trHeight w:val="689"/>
          <w:jc w:val="center"/>
        </w:trPr>
        <w:tc>
          <w:tcPr>
            <w:tcW w:w="1560" w:type="dxa"/>
            <w:vAlign w:val="center"/>
          </w:tcPr>
          <w:p w14:paraId="63D3ECC0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11月11日</w:t>
            </w:r>
          </w:p>
          <w:p w14:paraId="542E77FC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星期三</w:t>
            </w:r>
          </w:p>
        </w:tc>
        <w:tc>
          <w:tcPr>
            <w:tcW w:w="7796" w:type="dxa"/>
            <w:gridSpan w:val="2"/>
            <w:vAlign w:val="center"/>
          </w:tcPr>
          <w:p w14:paraId="15BDF084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全天报到</w:t>
            </w:r>
          </w:p>
        </w:tc>
      </w:tr>
      <w:tr w:rsidR="000E1C0C" w:rsidRPr="00A5473E" w14:paraId="2E80FBC5" w14:textId="77777777" w:rsidTr="00A5473E">
        <w:trPr>
          <w:trHeight w:val="722"/>
          <w:jc w:val="center"/>
        </w:trPr>
        <w:tc>
          <w:tcPr>
            <w:tcW w:w="1560" w:type="dxa"/>
            <w:vMerge w:val="restart"/>
            <w:vAlign w:val="center"/>
          </w:tcPr>
          <w:p w14:paraId="2612BA66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11月12日</w:t>
            </w:r>
          </w:p>
          <w:p w14:paraId="3785AED3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星期四</w:t>
            </w:r>
          </w:p>
        </w:tc>
        <w:tc>
          <w:tcPr>
            <w:tcW w:w="1701" w:type="dxa"/>
            <w:vAlign w:val="center"/>
          </w:tcPr>
          <w:p w14:paraId="1E90B157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上午</w:t>
            </w:r>
          </w:p>
          <w:p w14:paraId="2FF02488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8:30—9:00</w:t>
            </w:r>
          </w:p>
        </w:tc>
        <w:tc>
          <w:tcPr>
            <w:tcW w:w="6095" w:type="dxa"/>
            <w:vAlign w:val="center"/>
          </w:tcPr>
          <w:p w14:paraId="2AB64BA6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开班仪式</w:t>
            </w:r>
          </w:p>
        </w:tc>
      </w:tr>
      <w:tr w:rsidR="000E1C0C" w:rsidRPr="00A5473E" w14:paraId="6CEF179E" w14:textId="77777777" w:rsidTr="00A5473E">
        <w:trPr>
          <w:trHeight w:val="1248"/>
          <w:jc w:val="center"/>
        </w:trPr>
        <w:tc>
          <w:tcPr>
            <w:tcW w:w="1560" w:type="dxa"/>
            <w:vMerge/>
            <w:vAlign w:val="center"/>
          </w:tcPr>
          <w:p w14:paraId="25476D97" w14:textId="77777777" w:rsidR="000E1C0C" w:rsidRPr="00A5473E" w:rsidRDefault="000E1C0C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4043F619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上午</w:t>
            </w:r>
          </w:p>
          <w:p w14:paraId="0A44F86C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9:00—12:00</w:t>
            </w:r>
          </w:p>
        </w:tc>
        <w:tc>
          <w:tcPr>
            <w:tcW w:w="6095" w:type="dxa"/>
            <w:vAlign w:val="center"/>
          </w:tcPr>
          <w:p w14:paraId="12FB0AD3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b/>
                <w:bCs/>
                <w:iCs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b/>
                <w:bCs/>
                <w:iCs/>
                <w:sz w:val="21"/>
                <w:szCs w:val="21"/>
                <w:lang w:eastAsia="zh-CN"/>
              </w:rPr>
              <w:t>专题一、固定式压力容器典型损伤模式</w:t>
            </w:r>
          </w:p>
          <w:p w14:paraId="43DAEDFC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iCs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iCs/>
                <w:sz w:val="21"/>
                <w:szCs w:val="21"/>
                <w:lang w:eastAsia="zh-CN"/>
              </w:rPr>
              <w:t>1、损伤模式与失效模式简介、两者的关系</w:t>
            </w:r>
          </w:p>
          <w:p w14:paraId="40E8B244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iCs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iCs/>
                <w:sz w:val="21"/>
                <w:szCs w:val="21"/>
                <w:lang w:eastAsia="zh-CN"/>
              </w:rPr>
              <w:t>2、固定式压力容器损伤模式简介</w:t>
            </w:r>
          </w:p>
          <w:p w14:paraId="3A0BACC0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iCs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iCs/>
                <w:sz w:val="21"/>
                <w:szCs w:val="21"/>
                <w:lang w:eastAsia="zh-CN"/>
              </w:rPr>
              <w:t>3、固定式压力容器失效失效分析技术简介</w:t>
            </w:r>
          </w:p>
        </w:tc>
      </w:tr>
      <w:tr w:rsidR="000E1C0C" w:rsidRPr="00A5473E" w14:paraId="5295B972" w14:textId="77777777" w:rsidTr="00A5473E">
        <w:trPr>
          <w:trHeight w:val="1552"/>
          <w:jc w:val="center"/>
        </w:trPr>
        <w:tc>
          <w:tcPr>
            <w:tcW w:w="1560" w:type="dxa"/>
            <w:vMerge/>
            <w:vAlign w:val="center"/>
          </w:tcPr>
          <w:p w14:paraId="2B69E862" w14:textId="77777777" w:rsidR="000E1C0C" w:rsidRPr="00A5473E" w:rsidRDefault="000E1C0C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1904C54E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下午</w:t>
            </w:r>
          </w:p>
          <w:p w14:paraId="671202AC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14:00-18:00</w:t>
            </w:r>
          </w:p>
        </w:tc>
        <w:tc>
          <w:tcPr>
            <w:tcW w:w="6095" w:type="dxa"/>
            <w:vAlign w:val="center"/>
          </w:tcPr>
          <w:p w14:paraId="38FD694F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b/>
                <w:bCs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b/>
                <w:bCs/>
                <w:sz w:val="21"/>
                <w:szCs w:val="21"/>
                <w:lang w:eastAsia="zh-CN"/>
              </w:rPr>
              <w:t>专题二、典型固定式压力容器的检验</w:t>
            </w:r>
          </w:p>
          <w:p w14:paraId="6CBDD9F5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1、小型制冷装置中的压力容器定期检验</w:t>
            </w:r>
          </w:p>
          <w:p w14:paraId="4A5F792D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2、非金属及非金属衬里压力容器定期检验</w:t>
            </w:r>
          </w:p>
          <w:p w14:paraId="4BB87FD9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3、液化石油气球罐定期检验、加氢反应器定期检验</w:t>
            </w:r>
          </w:p>
          <w:p w14:paraId="000D9322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4、焦炭塔、尿素合成塔定期检验</w:t>
            </w:r>
          </w:p>
          <w:p w14:paraId="23D23706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iCs/>
                <w:sz w:val="21"/>
                <w:szCs w:val="21"/>
                <w:lang w:eastAsia="zh-CN"/>
              </w:rPr>
              <w:t>5、饱和水蒸气压力容器定期检验</w:t>
            </w:r>
          </w:p>
        </w:tc>
      </w:tr>
      <w:tr w:rsidR="000E1C0C" w:rsidRPr="00A5473E" w14:paraId="23B23396" w14:textId="77777777" w:rsidTr="00A5473E">
        <w:trPr>
          <w:trHeight w:val="1830"/>
          <w:jc w:val="center"/>
        </w:trPr>
        <w:tc>
          <w:tcPr>
            <w:tcW w:w="1560" w:type="dxa"/>
            <w:vMerge w:val="restart"/>
            <w:vAlign w:val="center"/>
          </w:tcPr>
          <w:p w14:paraId="54F830D7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11月13日</w:t>
            </w:r>
          </w:p>
          <w:p w14:paraId="50768D8F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星期五</w:t>
            </w:r>
          </w:p>
        </w:tc>
        <w:tc>
          <w:tcPr>
            <w:tcW w:w="1701" w:type="dxa"/>
            <w:vAlign w:val="center"/>
          </w:tcPr>
          <w:p w14:paraId="6F217E8A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上午</w:t>
            </w:r>
          </w:p>
          <w:p w14:paraId="73005AEE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8:30—12:00</w:t>
            </w:r>
          </w:p>
        </w:tc>
        <w:tc>
          <w:tcPr>
            <w:tcW w:w="6095" w:type="dxa"/>
            <w:vAlign w:val="center"/>
          </w:tcPr>
          <w:p w14:paraId="6FAD64C1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b/>
                <w:bCs/>
                <w:iCs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b/>
                <w:bCs/>
                <w:iCs/>
                <w:sz w:val="21"/>
                <w:szCs w:val="21"/>
                <w:lang w:eastAsia="zh-CN"/>
              </w:rPr>
              <w:t xml:space="preserve">专题三、固定式压力容器定期检验通用技术 </w:t>
            </w:r>
          </w:p>
          <w:p w14:paraId="69FF2989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iCs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iCs/>
                <w:sz w:val="21"/>
                <w:szCs w:val="21"/>
                <w:lang w:eastAsia="zh-CN"/>
              </w:rPr>
              <w:t>1、定期检验方案制定要点</w:t>
            </w:r>
          </w:p>
          <w:p w14:paraId="7CE95C7C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iCs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iCs/>
                <w:sz w:val="21"/>
                <w:szCs w:val="21"/>
                <w:lang w:eastAsia="zh-CN"/>
              </w:rPr>
              <w:t xml:space="preserve">2、定期检验实施及安全状况等级评定 </w:t>
            </w:r>
          </w:p>
          <w:p w14:paraId="1F8DFA95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iCs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iCs/>
                <w:sz w:val="21"/>
                <w:szCs w:val="21"/>
                <w:lang w:eastAsia="zh-CN"/>
              </w:rPr>
              <w:t>3、定期检验常见问题处理及检验周期确定</w:t>
            </w:r>
          </w:p>
          <w:p w14:paraId="4B8AB799" w14:textId="245A515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b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iCs/>
                <w:sz w:val="21"/>
                <w:szCs w:val="21"/>
                <w:lang w:eastAsia="zh-CN"/>
              </w:rPr>
              <w:t>4、《压力容器定期检验方法》GB/T 47578-2026 解读</w:t>
            </w:r>
          </w:p>
        </w:tc>
      </w:tr>
      <w:tr w:rsidR="000E1C0C" w:rsidRPr="00A5473E" w14:paraId="1E9BBA97" w14:textId="77777777" w:rsidTr="00A5473E">
        <w:trPr>
          <w:trHeight w:val="1275"/>
          <w:jc w:val="center"/>
        </w:trPr>
        <w:tc>
          <w:tcPr>
            <w:tcW w:w="1560" w:type="dxa"/>
            <w:vMerge/>
            <w:vAlign w:val="center"/>
          </w:tcPr>
          <w:p w14:paraId="0671D484" w14:textId="77777777" w:rsidR="000E1C0C" w:rsidRPr="00A5473E" w:rsidRDefault="000E1C0C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57F28951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下午</w:t>
            </w:r>
          </w:p>
          <w:p w14:paraId="0E8ADF91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14:00-18:00</w:t>
            </w:r>
          </w:p>
        </w:tc>
        <w:tc>
          <w:tcPr>
            <w:tcW w:w="6095" w:type="dxa"/>
            <w:vAlign w:val="center"/>
          </w:tcPr>
          <w:p w14:paraId="00AF69D0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b/>
                <w:bCs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b/>
                <w:bCs/>
                <w:sz w:val="21"/>
                <w:szCs w:val="21"/>
                <w:lang w:eastAsia="zh-CN"/>
              </w:rPr>
              <w:t>专题四、基于风险的检验（RBI）</w:t>
            </w:r>
          </w:p>
          <w:p w14:paraId="647B0383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1、RBI基本原理及实施技术路线</w:t>
            </w:r>
          </w:p>
          <w:p w14:paraId="5E42A636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 xml:space="preserve">2、基于风险检验策略的制定 </w:t>
            </w:r>
          </w:p>
          <w:p w14:paraId="3DEF40F5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3、RBI技术应用典型案例</w:t>
            </w:r>
          </w:p>
        </w:tc>
      </w:tr>
      <w:tr w:rsidR="000E1C0C" w:rsidRPr="00A5473E" w14:paraId="7892A030" w14:textId="77777777" w:rsidTr="00A5473E">
        <w:trPr>
          <w:trHeight w:val="1252"/>
          <w:jc w:val="center"/>
        </w:trPr>
        <w:tc>
          <w:tcPr>
            <w:tcW w:w="1560" w:type="dxa"/>
            <w:vMerge w:val="restart"/>
            <w:vAlign w:val="center"/>
          </w:tcPr>
          <w:p w14:paraId="5752068D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11月14日</w:t>
            </w:r>
          </w:p>
          <w:p w14:paraId="00D224F2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星期六</w:t>
            </w:r>
          </w:p>
        </w:tc>
        <w:tc>
          <w:tcPr>
            <w:tcW w:w="1701" w:type="dxa"/>
            <w:vAlign w:val="center"/>
          </w:tcPr>
          <w:p w14:paraId="18E0039A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上午</w:t>
            </w:r>
          </w:p>
          <w:p w14:paraId="64F6DA73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8:30—12:00</w:t>
            </w:r>
          </w:p>
        </w:tc>
        <w:tc>
          <w:tcPr>
            <w:tcW w:w="6095" w:type="dxa"/>
            <w:vAlign w:val="center"/>
          </w:tcPr>
          <w:p w14:paraId="6D275942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rPr>
                <w:rFonts w:ascii="仿宋_GB2312" w:eastAsia="仿宋_GB2312" w:hAnsi="宋体" w:cs="Times New Roman" w:hint="eastAsia"/>
                <w:b/>
                <w:bCs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b/>
                <w:bCs/>
                <w:sz w:val="21"/>
                <w:szCs w:val="21"/>
                <w:lang w:eastAsia="zh-CN"/>
              </w:rPr>
              <w:t xml:space="preserve">专题五、固定式压力容器合于使用评价 </w:t>
            </w:r>
          </w:p>
          <w:p w14:paraId="19983BA7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 xml:space="preserve">1、合于使用评价技术概述 </w:t>
            </w:r>
          </w:p>
          <w:p w14:paraId="0035471F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2、合于使用评价技术理论基础</w:t>
            </w:r>
            <w:proofErr w:type="gramStart"/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 xml:space="preserve"> .</w:t>
            </w:r>
            <w:proofErr w:type="gramEnd"/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 xml:space="preserve"> </w:t>
            </w:r>
          </w:p>
          <w:p w14:paraId="16F60E63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3、合于使用评价技术应用案例</w:t>
            </w:r>
          </w:p>
        </w:tc>
      </w:tr>
      <w:tr w:rsidR="000E1C0C" w:rsidRPr="00A5473E" w14:paraId="5916E672" w14:textId="77777777" w:rsidTr="00A5473E">
        <w:trPr>
          <w:trHeight w:val="1210"/>
          <w:jc w:val="center"/>
        </w:trPr>
        <w:tc>
          <w:tcPr>
            <w:tcW w:w="1560" w:type="dxa"/>
            <w:vMerge/>
            <w:vAlign w:val="center"/>
          </w:tcPr>
          <w:p w14:paraId="2C1850CC" w14:textId="77777777" w:rsidR="000E1C0C" w:rsidRPr="00A5473E" w:rsidRDefault="000E1C0C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3BE07BCD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下午</w:t>
            </w:r>
          </w:p>
          <w:p w14:paraId="2DFA2B36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14:00-18:00</w:t>
            </w:r>
          </w:p>
        </w:tc>
        <w:tc>
          <w:tcPr>
            <w:tcW w:w="6095" w:type="dxa"/>
            <w:vAlign w:val="center"/>
          </w:tcPr>
          <w:p w14:paraId="715871E2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rPr>
                <w:rFonts w:ascii="仿宋_GB2312" w:eastAsia="仿宋_GB2312" w:hAnsi="宋体" w:cs="Times New Roman" w:hint="eastAsia"/>
                <w:b/>
                <w:bCs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b/>
                <w:bCs/>
                <w:sz w:val="21"/>
                <w:szCs w:val="21"/>
                <w:lang w:eastAsia="zh-CN"/>
              </w:rPr>
              <w:t>专题六、超设计使用年限压力容器检验</w:t>
            </w:r>
          </w:p>
          <w:p w14:paraId="6915DEF0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1、超设计使用年限压力容器的内涵</w:t>
            </w:r>
          </w:p>
          <w:p w14:paraId="07169680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2、超设计使用年限压力容器使用及定期检验要求</w:t>
            </w:r>
          </w:p>
          <w:p w14:paraId="089862E7" w14:textId="77777777" w:rsidR="000E1C0C" w:rsidRPr="00A5473E" w:rsidRDefault="00000000">
            <w:pPr>
              <w:widowControl w:val="0"/>
              <w:snapToGrid w:val="0"/>
              <w:spacing w:after="0" w:line="240" w:lineRule="auto"/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</w:pPr>
            <w:r w:rsidRPr="00A5473E">
              <w:rPr>
                <w:rFonts w:ascii="仿宋_GB2312" w:eastAsia="仿宋_GB2312" w:hAnsi="宋体" w:cs="Times New Roman" w:hint="eastAsia"/>
                <w:sz w:val="21"/>
                <w:szCs w:val="21"/>
                <w:lang w:eastAsia="zh-CN"/>
              </w:rPr>
              <w:t>3、超设计使用年限压力容器安全评估技术</w:t>
            </w:r>
          </w:p>
        </w:tc>
      </w:tr>
    </w:tbl>
    <w:p w14:paraId="5E939BE6" w14:textId="77777777" w:rsidR="000E1C0C" w:rsidRDefault="000E1C0C" w:rsidP="00A5473E">
      <w:pPr>
        <w:spacing w:after="0" w:line="480" w:lineRule="exact"/>
        <w:rPr>
          <w:rFonts w:ascii="仿宋_GB2312" w:eastAsia="仿宋_GB2312"/>
          <w:lang w:eastAsia="zh-CN"/>
        </w:rPr>
      </w:pPr>
    </w:p>
    <w:sectPr w:rsidR="000E1C0C" w:rsidSect="00A5473E">
      <w:pgSz w:w="12240" w:h="15840"/>
      <w:pgMar w:top="1985" w:right="1474" w:bottom="1644" w:left="147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D1DCE" w14:textId="77777777" w:rsidR="00132888" w:rsidRDefault="00132888">
      <w:pPr>
        <w:spacing w:line="240" w:lineRule="auto"/>
      </w:pPr>
      <w:r>
        <w:separator/>
      </w:r>
    </w:p>
  </w:endnote>
  <w:endnote w:type="continuationSeparator" w:id="0">
    <w:p w14:paraId="6ACBB69E" w14:textId="77777777" w:rsidR="00132888" w:rsidRDefault="001328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2A25DC38-6A1C-4F75-BDF0-1965A35D4989}"/>
    <w:embedBold r:id="rId2" w:subsetted="1" w:fontKey="{E28764F9-9043-4CFC-9EB2-6C37C98E9D90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2CDF764D-5F3A-4D94-B030-6230B1004CD9}"/>
    <w:embedBold r:id="rId4" w:subsetted="1" w:fontKey="{2272FF98-C3B8-4227-80FC-909E99AE8C4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E6C09" w14:textId="77777777" w:rsidR="00132888" w:rsidRDefault="00132888">
      <w:pPr>
        <w:spacing w:after="0"/>
      </w:pPr>
      <w:r>
        <w:separator/>
      </w:r>
    </w:p>
  </w:footnote>
  <w:footnote w:type="continuationSeparator" w:id="0">
    <w:p w14:paraId="75F30702" w14:textId="77777777" w:rsidR="00132888" w:rsidRDefault="0013288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86797677">
    <w:abstractNumId w:val="1"/>
  </w:num>
  <w:num w:numId="2" w16cid:durableId="701710949">
    <w:abstractNumId w:val="4"/>
  </w:num>
  <w:num w:numId="3" w16cid:durableId="247227466">
    <w:abstractNumId w:val="5"/>
  </w:num>
  <w:num w:numId="4" w16cid:durableId="1195651386">
    <w:abstractNumId w:val="2"/>
  </w:num>
  <w:num w:numId="5" w16cid:durableId="755637196">
    <w:abstractNumId w:val="0"/>
  </w:num>
  <w:num w:numId="6" w16cid:durableId="1557470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409"/>
    <w:rsid w:val="00031188"/>
    <w:rsid w:val="00032A49"/>
    <w:rsid w:val="00034616"/>
    <w:rsid w:val="00037C28"/>
    <w:rsid w:val="000468AA"/>
    <w:rsid w:val="00056773"/>
    <w:rsid w:val="0006063C"/>
    <w:rsid w:val="000A05A6"/>
    <w:rsid w:val="000A2DF5"/>
    <w:rsid w:val="000E1C0C"/>
    <w:rsid w:val="00132888"/>
    <w:rsid w:val="00147CC9"/>
    <w:rsid w:val="0015074B"/>
    <w:rsid w:val="00163F59"/>
    <w:rsid w:val="00174D8E"/>
    <w:rsid w:val="00240604"/>
    <w:rsid w:val="00242EB8"/>
    <w:rsid w:val="0029639D"/>
    <w:rsid w:val="002D3122"/>
    <w:rsid w:val="00326F90"/>
    <w:rsid w:val="00331522"/>
    <w:rsid w:val="00335428"/>
    <w:rsid w:val="00396DCA"/>
    <w:rsid w:val="0041089F"/>
    <w:rsid w:val="00447048"/>
    <w:rsid w:val="004619A6"/>
    <w:rsid w:val="00531BBF"/>
    <w:rsid w:val="005B1ED3"/>
    <w:rsid w:val="005C16D8"/>
    <w:rsid w:val="005E047F"/>
    <w:rsid w:val="00692893"/>
    <w:rsid w:val="00743C23"/>
    <w:rsid w:val="00792E86"/>
    <w:rsid w:val="007E6905"/>
    <w:rsid w:val="007F2110"/>
    <w:rsid w:val="00812989"/>
    <w:rsid w:val="00844480"/>
    <w:rsid w:val="00877E7A"/>
    <w:rsid w:val="0088425C"/>
    <w:rsid w:val="008D1FFE"/>
    <w:rsid w:val="0090589A"/>
    <w:rsid w:val="00923DF1"/>
    <w:rsid w:val="00990F55"/>
    <w:rsid w:val="00A107ED"/>
    <w:rsid w:val="00A444C8"/>
    <w:rsid w:val="00A5473E"/>
    <w:rsid w:val="00AA1D8D"/>
    <w:rsid w:val="00AF453D"/>
    <w:rsid w:val="00B47730"/>
    <w:rsid w:val="00B902A2"/>
    <w:rsid w:val="00BB7507"/>
    <w:rsid w:val="00C258A1"/>
    <w:rsid w:val="00C349D8"/>
    <w:rsid w:val="00C367CA"/>
    <w:rsid w:val="00CB0664"/>
    <w:rsid w:val="00D8742D"/>
    <w:rsid w:val="00DB6B78"/>
    <w:rsid w:val="00F67D3B"/>
    <w:rsid w:val="00F77930"/>
    <w:rsid w:val="00FC3DEF"/>
    <w:rsid w:val="00FC693F"/>
    <w:rsid w:val="00FD0F0A"/>
    <w:rsid w:val="12A82197"/>
    <w:rsid w:val="3A94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A570E8"/>
  <w14:defaultImageDpi w14:val="300"/>
  <w15:docId w15:val="{C7441AF3-7EE3-4BFF-954A-3F642893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 w:qFormat="1"/>
    <w:lsdException w:name="List Bullet" w:unhideWhenUsed="1"/>
    <w:lsdException w:name="List Number" w:unhideWhenUsed="1" w:qFormat="1"/>
    <w:lsdException w:name="List 2" w:unhideWhenUsed="1" w:qFormat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unhideWhenUsed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/>
    <w:lsdException w:name="Medium Shading 1" w:uiPriority="63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 w:qFormat="1"/>
    <w:lsdException w:name="Medium Shading 1 Accent 2" w:uiPriority="63"/>
    <w:lsdException w:name="Medium Shading 2 Accent 2" w:uiPriority="64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/>
    <w:lsdException w:name="Light Grid Accent 3" w:uiPriority="62" w:qFormat="1"/>
    <w:lsdException w:name="Medium Shading 1 Accent 3" w:uiPriority="63" w:qFormat="1"/>
    <w:lsdException w:name="Medium Shading 2 Accent 3" w:uiPriority="64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/>
    <w:lsdException w:name="Light Grid Accent 4" w:uiPriority="62" w:qFormat="1"/>
    <w:lsdException w:name="Medium Shading 1 Accent 4" w:uiPriority="63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/>
    <w:lsdException w:name="Light List Accent 5" w:uiPriority="61" w:qFormat="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/>
    <w:lsdException w:name="Medium Shading 1 Accent 6" w:uiPriority="63" w:qFormat="1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cstheme="minorBidi"/>
      <w:sz w:val="28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eastAsia="en-US"/>
    </w:rPr>
  </w:style>
  <w:style w:type="paragraph" w:styleId="33">
    <w:name w:val="List 3"/>
    <w:basedOn w:val="a1"/>
    <w:uiPriority w:val="99"/>
    <w:unhideWhenUsed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paragraph" w:styleId="ab">
    <w:name w:val="Date"/>
    <w:basedOn w:val="a1"/>
    <w:next w:val="a1"/>
    <w:link w:val="ac"/>
    <w:uiPriority w:val="99"/>
    <w:semiHidden/>
    <w:unhideWhenUsed/>
    <w:pPr>
      <w:ind w:leftChars="2500" w:left="100"/>
    </w:pPr>
  </w:style>
  <w:style w:type="paragraph" w:styleId="ad">
    <w:name w:val="foot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header"/>
    <w:basedOn w:val="a1"/>
    <w:link w:val="af0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1">
    <w:name w:val="Subtitle"/>
    <w:basedOn w:val="a1"/>
    <w:next w:val="a1"/>
    <w:link w:val="af2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3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4">
    <w:name w:val="Title"/>
    <w:basedOn w:val="a1"/>
    <w:next w:val="a1"/>
    <w:link w:val="af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6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7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8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9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a">
    <w:name w:val="Dark List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b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c">
    <w:name w:val="Colorful List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d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e">
    <w:name w:val="Strong"/>
    <w:basedOn w:val="a2"/>
    <w:uiPriority w:val="22"/>
    <w:qFormat/>
    <w:rPr>
      <w:b/>
      <w:bCs/>
    </w:rPr>
  </w:style>
  <w:style w:type="character" w:styleId="aff">
    <w:name w:val="FollowedHyperlink"/>
    <w:basedOn w:val="a2"/>
    <w:uiPriority w:val="99"/>
    <w:semiHidden/>
    <w:unhideWhenUsed/>
    <w:qFormat/>
    <w:rPr>
      <w:color w:val="800080" w:themeColor="followedHyperlink"/>
      <w:u w:val="single"/>
    </w:rPr>
  </w:style>
  <w:style w:type="character" w:styleId="aff0">
    <w:name w:val="Emphasis"/>
    <w:basedOn w:val="a2"/>
    <w:uiPriority w:val="20"/>
    <w:qFormat/>
    <w:rPr>
      <w:i/>
      <w:iCs/>
    </w:rPr>
  </w:style>
  <w:style w:type="character" w:styleId="aff1">
    <w:name w:val="Hyperlink"/>
    <w:basedOn w:val="a2"/>
    <w:uiPriority w:val="99"/>
    <w:unhideWhenUsed/>
    <w:qFormat/>
    <w:rPr>
      <w:color w:val="0000FF" w:themeColor="hyperlink"/>
      <w:u w:val="single"/>
    </w:rPr>
  </w:style>
  <w:style w:type="character" w:customStyle="1" w:styleId="af0">
    <w:name w:val="页眉 字符"/>
    <w:basedOn w:val="a2"/>
    <w:link w:val="af"/>
    <w:uiPriority w:val="99"/>
    <w:qFormat/>
  </w:style>
  <w:style w:type="character" w:customStyle="1" w:styleId="ae">
    <w:name w:val="页脚 字符"/>
    <w:basedOn w:val="a2"/>
    <w:link w:val="ad"/>
    <w:uiPriority w:val="99"/>
    <w:qFormat/>
  </w:style>
  <w:style w:type="paragraph" w:styleId="aff2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5">
    <w:name w:val="标题 字符"/>
    <w:basedOn w:val="a2"/>
    <w:link w:val="af4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副标题 字符"/>
    <w:basedOn w:val="a2"/>
    <w:link w:val="af1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3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4">
    <w:name w:val="Quote"/>
    <w:basedOn w:val="a1"/>
    <w:next w:val="a1"/>
    <w:link w:val="aff5"/>
    <w:uiPriority w:val="29"/>
    <w:qFormat/>
    <w:rPr>
      <w:i/>
      <w:iCs/>
      <w:color w:val="000000" w:themeColor="text1"/>
    </w:rPr>
  </w:style>
  <w:style w:type="character" w:customStyle="1" w:styleId="aff5">
    <w:name w:val="引用 字符"/>
    <w:basedOn w:val="a2"/>
    <w:link w:val="aff4"/>
    <w:uiPriority w:val="29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6">
    <w:name w:val="Intense Quote"/>
    <w:basedOn w:val="a1"/>
    <w:next w:val="a1"/>
    <w:link w:val="aff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7">
    <w:name w:val="明显引用 字符"/>
    <w:basedOn w:val="a2"/>
    <w:link w:val="aff6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character" w:customStyle="1" w:styleId="19">
    <w:name w:val="未处理的提及1"/>
    <w:basedOn w:val="a2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c">
    <w:name w:val="日期 字符"/>
    <w:basedOn w:val="a2"/>
    <w:link w:val="ab"/>
    <w:uiPriority w:val="99"/>
    <w:semiHidden/>
    <w:qFormat/>
    <w:rPr>
      <w:rFonts w:ascii="Times New Roman" w:eastAsia="宋体" w:hAnsi="Times New Roman"/>
      <w:sz w:val="28"/>
    </w:rPr>
  </w:style>
  <w:style w:type="table" w:customStyle="1" w:styleId="1a">
    <w:name w:val="网格型1"/>
    <w:basedOn w:val="a3"/>
    <w:uiPriority w:val="39"/>
    <w:qFormat/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Placeholder Text"/>
    <w:basedOn w:val="a2"/>
    <w:uiPriority w:val="99"/>
    <w:semiHidden/>
    <w:qFormat/>
    <w:rPr>
      <w:color w:val="666666"/>
    </w:rPr>
  </w:style>
  <w:style w:type="paragraph" w:styleId="aff9">
    <w:name w:val="Revision"/>
    <w:hidden/>
    <w:uiPriority w:val="99"/>
    <w:unhideWhenUsed/>
    <w:rsid w:val="00C349D8"/>
    <w:rPr>
      <w:rFonts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331</Words>
  <Characters>368</Characters>
  <Application>Microsoft Office Word</Application>
  <DocSecurity>0</DocSecurity>
  <Lines>24</Lines>
  <Paragraphs>31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为 刘</cp:lastModifiedBy>
  <cp:revision>28</cp:revision>
  <cp:lastPrinted>2026-09-17T00:56:00Z</cp:lastPrinted>
  <dcterms:created xsi:type="dcterms:W3CDTF">2013-12-23T23:15:00Z</dcterms:created>
  <dcterms:modified xsi:type="dcterms:W3CDTF">2026-09-17T02:34:00Z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eyJoZGlkIjoiYTI0MzUxM2I3MDI4M2JjMmNiYWMyZDczMzdmMDljMGEiLCJ1c2VySWQiOiIyNjE5OTE2In0=</vt:lpwstr>
  </property>
  <property fmtid="{D5CDD505-2E9C-101B-9397-08002B2CF9AE}" pid="3" name="KSOProductBuildVer">
    <vt:lpwstr>2052-12.1.0.28505</vt:lpwstr>
  </property>
  <property fmtid="{D5CDD505-2E9C-101B-9397-08002B2CF9AE}" pid="4" name="ICV">
    <vt:lpwstr>D4E7689C40C34EDCA6703638C1875F4B_13</vt:lpwstr>
  </property>
</Properties>
</file>